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7F4A" w14:textId="77777777" w:rsidR="00772A69" w:rsidRPr="00187D26" w:rsidRDefault="00772A69" w:rsidP="00772A69">
      <w:pPr>
        <w:spacing w:after="0" w:line="240" w:lineRule="auto"/>
        <w:jc w:val="right"/>
        <w:rPr>
          <w:rFonts w:ascii="Cambria" w:hAnsi="Cambria" w:cs="Calibri"/>
          <w:sz w:val="20"/>
          <w:szCs w:val="20"/>
          <w:lang w:val="es-CO"/>
        </w:rPr>
      </w:pPr>
    </w:p>
    <w:p w14:paraId="5C7F1944" w14:textId="77777777" w:rsidR="00772A69" w:rsidRPr="00187D26" w:rsidRDefault="00772A69" w:rsidP="00772A69">
      <w:pPr>
        <w:spacing w:after="0" w:line="240" w:lineRule="auto"/>
        <w:ind w:left="6480" w:firstLine="720"/>
        <w:rPr>
          <w:rFonts w:ascii="Cambria" w:hAnsi="Cambria" w:cs="Calibri"/>
          <w:sz w:val="20"/>
          <w:szCs w:val="20"/>
          <w:lang w:val="es-CO"/>
        </w:rPr>
      </w:pPr>
    </w:p>
    <w:p w14:paraId="12F92850" w14:textId="77777777" w:rsidR="00772A69" w:rsidRDefault="00772A69" w:rsidP="00772A69">
      <w:pPr>
        <w:spacing w:after="0" w:line="240" w:lineRule="auto"/>
        <w:ind w:left="6480" w:firstLine="720"/>
        <w:rPr>
          <w:rFonts w:ascii="Cambria" w:hAnsi="Cambria" w:cs="Calibri"/>
          <w:sz w:val="20"/>
          <w:szCs w:val="20"/>
          <w:lang w:val="es-CO"/>
        </w:rPr>
      </w:pPr>
    </w:p>
    <w:p w14:paraId="2BDA7E64" w14:textId="77777777" w:rsidR="00BF7395" w:rsidRPr="00187D26" w:rsidRDefault="00BF7395" w:rsidP="00772A69">
      <w:pPr>
        <w:spacing w:after="0" w:line="240" w:lineRule="auto"/>
        <w:ind w:left="6480" w:firstLine="720"/>
        <w:rPr>
          <w:rFonts w:ascii="Cambria" w:hAnsi="Cambria" w:cs="Calibri"/>
          <w:sz w:val="20"/>
          <w:szCs w:val="20"/>
          <w:lang w:val="es-CO"/>
        </w:rPr>
      </w:pPr>
    </w:p>
    <w:p w14:paraId="7B8C3A09" w14:textId="40A1E5A3" w:rsidR="00772A69" w:rsidRPr="00187D26" w:rsidRDefault="00772A69" w:rsidP="00187D26">
      <w:pPr>
        <w:spacing w:after="0" w:line="240" w:lineRule="auto"/>
        <w:ind w:left="6480" w:firstLine="720"/>
        <w:jc w:val="right"/>
        <w:rPr>
          <w:rFonts w:ascii="Cambria" w:hAnsi="Cambria" w:cs="Calibri"/>
          <w:sz w:val="20"/>
          <w:szCs w:val="20"/>
          <w:lang w:val="es-CO"/>
        </w:rPr>
      </w:pPr>
      <w:r w:rsidRPr="00187D26">
        <w:rPr>
          <w:rFonts w:ascii="Cambria" w:hAnsi="Cambria" w:cs="Calibri"/>
          <w:sz w:val="20"/>
          <w:szCs w:val="20"/>
          <w:lang w:val="es-CO"/>
        </w:rPr>
        <w:t xml:space="preserve">6 de </w:t>
      </w:r>
      <w:r w:rsidR="006E638B" w:rsidRPr="00187D26">
        <w:rPr>
          <w:rFonts w:ascii="Cambria" w:hAnsi="Cambria" w:cs="Calibri"/>
          <w:sz w:val="20"/>
          <w:szCs w:val="20"/>
          <w:lang w:val="es-CO"/>
        </w:rPr>
        <w:t>junio</w:t>
      </w:r>
      <w:r w:rsidRPr="00187D26">
        <w:rPr>
          <w:rFonts w:ascii="Cambria" w:hAnsi="Cambria" w:cs="Calibri"/>
          <w:sz w:val="20"/>
          <w:szCs w:val="20"/>
          <w:lang w:val="es-CO"/>
        </w:rPr>
        <w:t xml:space="preserve"> de 2025</w:t>
      </w:r>
    </w:p>
    <w:p w14:paraId="4D9B5538" w14:textId="77777777" w:rsidR="00772A69" w:rsidRPr="00187D26" w:rsidRDefault="00772A69" w:rsidP="006D00DC">
      <w:pPr>
        <w:spacing w:after="0" w:line="240" w:lineRule="auto"/>
        <w:rPr>
          <w:rFonts w:ascii="Cambria" w:hAnsi="Cambria" w:cs="Calibri"/>
          <w:sz w:val="20"/>
          <w:szCs w:val="20"/>
          <w:lang w:val="es-CO"/>
        </w:rPr>
      </w:pPr>
    </w:p>
    <w:p w14:paraId="5B211930" w14:textId="5704D2EA" w:rsidR="00772A69" w:rsidRPr="00187D26" w:rsidRDefault="00772A69" w:rsidP="00772A69">
      <w:pPr>
        <w:spacing w:after="0" w:line="240" w:lineRule="auto"/>
        <w:jc w:val="both"/>
        <w:rPr>
          <w:rFonts w:ascii="Cambria" w:hAnsi="Cambria" w:cs="Calibri"/>
          <w:b/>
          <w:sz w:val="20"/>
          <w:szCs w:val="20"/>
          <w:lang w:val="es-CO"/>
        </w:rPr>
      </w:pPr>
      <w:r w:rsidRPr="00187D26">
        <w:rPr>
          <w:rFonts w:ascii="Cambria" w:hAnsi="Cambria" w:cs="Calibri"/>
          <w:b/>
          <w:sz w:val="20"/>
          <w:szCs w:val="20"/>
          <w:lang w:val="es-CO"/>
        </w:rPr>
        <w:t>REF.:</w:t>
      </w:r>
      <w:r w:rsidRPr="00187D26">
        <w:rPr>
          <w:rFonts w:ascii="Cambria" w:hAnsi="Cambria" w:cs="Calibri"/>
          <w:b/>
          <w:sz w:val="20"/>
          <w:szCs w:val="20"/>
          <w:lang w:val="es-CO"/>
        </w:rPr>
        <w:tab/>
        <w:t>Caso Nº 11.602 B</w:t>
      </w:r>
    </w:p>
    <w:p w14:paraId="65EAB4E7" w14:textId="77777777" w:rsidR="00772A69" w:rsidRPr="00187D26" w:rsidRDefault="00772A69" w:rsidP="00772A69">
      <w:pPr>
        <w:tabs>
          <w:tab w:val="left" w:pos="7165"/>
        </w:tabs>
        <w:spacing w:after="0" w:line="240" w:lineRule="auto"/>
        <w:ind w:firstLine="720"/>
        <w:jc w:val="both"/>
        <w:rPr>
          <w:rFonts w:ascii="Cambria" w:hAnsi="Cambria"/>
          <w:b/>
          <w:sz w:val="20"/>
          <w:szCs w:val="20"/>
          <w:lang w:val="es-CO"/>
        </w:rPr>
      </w:pPr>
      <w:r w:rsidRPr="00187D26">
        <w:rPr>
          <w:rFonts w:ascii="Cambria" w:hAnsi="Cambria"/>
          <w:b/>
          <w:sz w:val="20"/>
          <w:szCs w:val="20"/>
          <w:lang w:val="es-CO"/>
        </w:rPr>
        <w:t>Trabajadores Cesados de Petroperú</w:t>
      </w:r>
    </w:p>
    <w:p w14:paraId="0FEBA487" w14:textId="3EFC08CF" w:rsidR="00772A69" w:rsidRPr="00187D26" w:rsidRDefault="00772A69" w:rsidP="00772A69">
      <w:pPr>
        <w:tabs>
          <w:tab w:val="left" w:pos="7165"/>
        </w:tabs>
        <w:spacing w:after="0" w:line="240" w:lineRule="auto"/>
        <w:ind w:firstLine="720"/>
        <w:jc w:val="both"/>
        <w:rPr>
          <w:rFonts w:ascii="Cambria" w:hAnsi="Cambria" w:cs="Calibri"/>
          <w:b/>
          <w:sz w:val="20"/>
          <w:szCs w:val="20"/>
          <w:lang w:val="es-CO"/>
        </w:rPr>
      </w:pPr>
      <w:r w:rsidRPr="00187D26">
        <w:rPr>
          <w:rFonts w:ascii="Cambria" w:hAnsi="Cambria" w:cs="Calibri"/>
          <w:b/>
          <w:sz w:val="20"/>
          <w:szCs w:val="20"/>
          <w:lang w:val="es-CO"/>
        </w:rPr>
        <w:t>Perú</w:t>
      </w:r>
    </w:p>
    <w:p w14:paraId="5E137F4C" w14:textId="77777777" w:rsidR="00772A69" w:rsidRDefault="00772A69" w:rsidP="00772A69">
      <w:pPr>
        <w:tabs>
          <w:tab w:val="left" w:pos="7165"/>
        </w:tabs>
        <w:spacing w:after="0" w:line="240" w:lineRule="auto"/>
        <w:jc w:val="both"/>
        <w:rPr>
          <w:rFonts w:ascii="Cambria" w:hAnsi="Cambria" w:cs="Calibri"/>
          <w:b/>
          <w:sz w:val="20"/>
          <w:szCs w:val="20"/>
          <w:lang w:val="es-CO"/>
        </w:rPr>
      </w:pPr>
    </w:p>
    <w:p w14:paraId="54B518BC" w14:textId="77777777" w:rsidR="00BF7395" w:rsidRPr="00187D26" w:rsidRDefault="00BF7395" w:rsidP="00772A69">
      <w:pPr>
        <w:tabs>
          <w:tab w:val="left" w:pos="7165"/>
        </w:tabs>
        <w:spacing w:after="0" w:line="240" w:lineRule="auto"/>
        <w:jc w:val="both"/>
        <w:rPr>
          <w:rFonts w:ascii="Cambria" w:hAnsi="Cambria" w:cs="Calibri"/>
          <w:b/>
          <w:sz w:val="20"/>
          <w:szCs w:val="20"/>
          <w:lang w:val="es-CO"/>
        </w:rPr>
      </w:pPr>
    </w:p>
    <w:p w14:paraId="2D075F8D" w14:textId="77777777" w:rsidR="00772A69" w:rsidRPr="00187D26" w:rsidRDefault="00772A69" w:rsidP="00772A69">
      <w:pPr>
        <w:spacing w:after="0" w:line="240" w:lineRule="auto"/>
        <w:jc w:val="both"/>
        <w:rPr>
          <w:rFonts w:ascii="Cambria" w:hAnsi="Cambria" w:cs="Calibri"/>
          <w:sz w:val="20"/>
          <w:szCs w:val="20"/>
          <w:lang w:val="es-CO"/>
        </w:rPr>
      </w:pPr>
      <w:r w:rsidRPr="00187D26">
        <w:rPr>
          <w:rFonts w:ascii="Cambria" w:hAnsi="Cambria" w:cs="Calibri"/>
          <w:sz w:val="20"/>
          <w:szCs w:val="20"/>
          <w:lang w:val="es-CO"/>
        </w:rPr>
        <w:t>Señor Secretario:</w:t>
      </w:r>
    </w:p>
    <w:p w14:paraId="0EE96F01" w14:textId="509E95FB" w:rsidR="00772A69" w:rsidRPr="00187D26" w:rsidRDefault="00772A69" w:rsidP="00187D26">
      <w:pPr>
        <w:tabs>
          <w:tab w:val="left" w:pos="7512"/>
        </w:tabs>
        <w:spacing w:after="0" w:line="240" w:lineRule="auto"/>
        <w:jc w:val="both"/>
        <w:rPr>
          <w:rFonts w:ascii="Cambria" w:hAnsi="Cambria" w:cs="Calibri"/>
          <w:sz w:val="20"/>
          <w:szCs w:val="20"/>
          <w:lang w:val="es-CO"/>
        </w:rPr>
      </w:pPr>
    </w:p>
    <w:p w14:paraId="2C54377B" w14:textId="24101DC7" w:rsidR="00772A69" w:rsidRPr="00187D26" w:rsidRDefault="00344108" w:rsidP="00344108">
      <w:pPr>
        <w:tabs>
          <w:tab w:val="left" w:pos="360"/>
        </w:tabs>
        <w:spacing w:after="0" w:line="240" w:lineRule="auto"/>
        <w:jc w:val="both"/>
        <w:rPr>
          <w:rFonts w:ascii="Cambria" w:hAnsi="Cambria" w:cs="Calibri"/>
          <w:sz w:val="20"/>
          <w:szCs w:val="20"/>
          <w:lang w:val="es-CO"/>
        </w:rPr>
      </w:pPr>
      <w:r w:rsidRPr="00187D26">
        <w:rPr>
          <w:rFonts w:ascii="Cambria" w:hAnsi="Cambria" w:cs="Calibri"/>
          <w:sz w:val="20"/>
          <w:szCs w:val="20"/>
          <w:lang w:val="es-CO"/>
        </w:rPr>
        <w:tab/>
      </w:r>
      <w:r w:rsidR="00772A69" w:rsidRPr="00187D26">
        <w:rPr>
          <w:rFonts w:ascii="Cambria" w:hAnsi="Cambria" w:cs="Calibri"/>
          <w:sz w:val="20"/>
          <w:szCs w:val="20"/>
          <w:lang w:val="es-CO"/>
        </w:rPr>
        <w:t xml:space="preserve">Tengo el agrado de dirigirme a usted, en nombre de la Comisión Interamericana de Derechos Humanos, con el objeto de someter a la jurisdicción de la Honorable Corte Interamericana de Derechos Humanos el Caso N° 11.602 B – Trabajadores Cesados de Petroperú de la República del Perú (en adelante “el Estado de Perú”, “Estado peruano” o “Perú”). El caso se relaciona con la responsabilidad internacional del Estado peruano debido a la destitución irregular de trabajadores de sus cargos como funcionarios de Petróleos del Perú (en adelante “Petroperú”) a partir de 1992 en un contexto de ruptura del orden democrático. </w:t>
      </w:r>
    </w:p>
    <w:p w14:paraId="35E1336A" w14:textId="77777777" w:rsidR="00772A69" w:rsidRPr="00187D26" w:rsidRDefault="00772A69" w:rsidP="00772A69">
      <w:pPr>
        <w:tabs>
          <w:tab w:val="left" w:pos="360"/>
          <w:tab w:val="left" w:pos="540"/>
          <w:tab w:val="left" w:pos="1440"/>
        </w:tabs>
        <w:spacing w:after="0" w:line="240" w:lineRule="auto"/>
        <w:jc w:val="both"/>
        <w:rPr>
          <w:rFonts w:ascii="Cambria" w:hAnsi="Cambria"/>
          <w:sz w:val="20"/>
          <w:szCs w:val="20"/>
          <w:lang w:val="es-CO"/>
        </w:rPr>
      </w:pPr>
    </w:p>
    <w:p w14:paraId="13C7C6F6" w14:textId="48DA8D59" w:rsidR="00C36CD5" w:rsidRPr="00187D26" w:rsidRDefault="00344108" w:rsidP="00344108">
      <w:pPr>
        <w:tabs>
          <w:tab w:val="left" w:pos="360"/>
        </w:tabs>
        <w:spacing w:after="0" w:line="240" w:lineRule="auto"/>
        <w:ind w:hanging="2"/>
        <w:jc w:val="both"/>
        <w:rPr>
          <w:rFonts w:ascii="Cambria" w:eastAsia="Cambria" w:hAnsi="Cambria" w:cs="Cambria"/>
          <w:sz w:val="20"/>
          <w:szCs w:val="20"/>
          <w:lang w:val="es-CO"/>
        </w:rPr>
      </w:pPr>
      <w:r w:rsidRPr="00187D26">
        <w:rPr>
          <w:rFonts w:ascii="Cambria" w:hAnsi="Cambria"/>
          <w:sz w:val="20"/>
          <w:szCs w:val="20"/>
          <w:lang w:val="es-CO"/>
        </w:rPr>
        <w:tab/>
      </w:r>
      <w:r w:rsidR="00772A69" w:rsidRPr="00187D26">
        <w:rPr>
          <w:rFonts w:ascii="Cambria" w:hAnsi="Cambria"/>
          <w:sz w:val="20"/>
          <w:szCs w:val="20"/>
          <w:lang w:val="es-CO"/>
        </w:rPr>
        <w:tab/>
      </w:r>
      <w:r w:rsidR="00A6461C" w:rsidRPr="00187D26">
        <w:rPr>
          <w:rFonts w:ascii="Cambria" w:eastAsia="Cambria" w:hAnsi="Cambria" w:cs="Cambria"/>
          <w:sz w:val="20"/>
          <w:szCs w:val="20"/>
          <w:lang w:val="es-CO"/>
        </w:rPr>
        <w:t>L</w:t>
      </w:r>
      <w:r w:rsidR="003F1316" w:rsidRPr="00187D26">
        <w:rPr>
          <w:rFonts w:ascii="Cambria" w:eastAsia="Cambria" w:hAnsi="Cambria" w:cs="Cambria"/>
          <w:sz w:val="20"/>
          <w:szCs w:val="20"/>
          <w:lang w:val="es-CO"/>
        </w:rPr>
        <w:t xml:space="preserve">os hechos del presente caso </w:t>
      </w:r>
      <w:r w:rsidR="00C627C9" w:rsidRPr="00187D26">
        <w:rPr>
          <w:rFonts w:ascii="Cambria" w:eastAsia="Cambria" w:hAnsi="Cambria" w:cs="Cambria"/>
          <w:sz w:val="20"/>
          <w:szCs w:val="20"/>
          <w:lang w:val="es-CO"/>
        </w:rPr>
        <w:t>ocurrieron en el mismo contexto general previamente desarrollado por la Comisión en su Informe de Fondo No. 14/15 relacionado con ceses colectivos llevados a cabo por Petroperú con base en un plan de racionalización de trabajadores bajo el amparo del Decreto Ley No. 26120.</w:t>
      </w:r>
    </w:p>
    <w:p w14:paraId="008C38C6" w14:textId="77777777" w:rsidR="00A91BCF" w:rsidRPr="00187D26" w:rsidRDefault="00A91BCF" w:rsidP="00FB2783">
      <w:pPr>
        <w:tabs>
          <w:tab w:val="left" w:pos="360"/>
        </w:tabs>
        <w:spacing w:after="0" w:line="240" w:lineRule="auto"/>
        <w:ind w:hanging="2"/>
        <w:jc w:val="both"/>
        <w:rPr>
          <w:rFonts w:ascii="Cambria" w:eastAsia="Cambria" w:hAnsi="Cambria" w:cs="Cambria"/>
          <w:sz w:val="20"/>
          <w:szCs w:val="20"/>
          <w:lang w:val="es-CO"/>
        </w:rPr>
      </w:pPr>
    </w:p>
    <w:p w14:paraId="239B58BA" w14:textId="45561E2D" w:rsidR="001F4521" w:rsidRPr="00187D26" w:rsidRDefault="00344108" w:rsidP="00344108">
      <w:pPr>
        <w:tabs>
          <w:tab w:val="left" w:pos="360"/>
        </w:tabs>
        <w:spacing w:after="0" w:line="240" w:lineRule="auto"/>
        <w:jc w:val="both"/>
        <w:rPr>
          <w:rFonts w:ascii="Cambria" w:hAnsi="Cambria"/>
          <w:sz w:val="20"/>
          <w:szCs w:val="20"/>
          <w:lang w:val="es-CO"/>
        </w:rPr>
      </w:pPr>
      <w:r w:rsidRPr="00187D26">
        <w:rPr>
          <w:rFonts w:ascii="Cambria" w:hAnsi="Cambria"/>
          <w:sz w:val="20"/>
          <w:szCs w:val="20"/>
          <w:lang w:val="es-CO"/>
        </w:rPr>
        <w:tab/>
      </w:r>
      <w:r w:rsidR="001F4521" w:rsidRPr="00187D26">
        <w:rPr>
          <w:rFonts w:ascii="Cambria" w:hAnsi="Cambria"/>
          <w:sz w:val="20"/>
          <w:szCs w:val="20"/>
          <w:lang w:val="es-CO"/>
        </w:rPr>
        <w:t xml:space="preserve">En 1990, Alberto Fujimori asumió la presidencia del Perú. Tanto la Comisión como la Corte Interamericana en el </w:t>
      </w:r>
      <w:r w:rsidR="001F4521" w:rsidRPr="00187D26">
        <w:rPr>
          <w:rFonts w:ascii="Cambria" w:hAnsi="Cambria"/>
          <w:i/>
          <w:iCs/>
          <w:sz w:val="20"/>
          <w:szCs w:val="20"/>
          <w:lang w:val="es-CO"/>
        </w:rPr>
        <w:t>Caso Trabajadores Cesados del Congreso (Aguado Alfaro y otros) v. Perú</w:t>
      </w:r>
      <w:r w:rsidR="001F4521" w:rsidRPr="00187D26">
        <w:rPr>
          <w:rFonts w:ascii="Cambria" w:hAnsi="Cambria"/>
          <w:sz w:val="20"/>
          <w:szCs w:val="20"/>
          <w:lang w:val="es-CO"/>
        </w:rPr>
        <w:t xml:space="preserve"> identificaron múltiples despidos irregulares en el sector público. En 1991, se emitió el Decreto Legislativo N.º 674, que declaró de interés nacional la promoción de la inversión privada en empresas estatales. Luego, en 1992, se promulgó el Decreto Ley N.º 26120, el cual autorizó una reestructuración económica, financiera, legal</w:t>
      </w:r>
      <w:r w:rsidR="0097080B" w:rsidRPr="00187D26">
        <w:rPr>
          <w:rFonts w:ascii="Cambria" w:hAnsi="Cambria"/>
          <w:sz w:val="20"/>
          <w:szCs w:val="20"/>
          <w:lang w:val="es-CO"/>
        </w:rPr>
        <w:t xml:space="preserve"> y </w:t>
      </w:r>
      <w:r w:rsidR="001F4521" w:rsidRPr="00187D26">
        <w:rPr>
          <w:rFonts w:ascii="Cambria" w:hAnsi="Cambria"/>
          <w:sz w:val="20"/>
          <w:szCs w:val="20"/>
          <w:lang w:val="es-CO"/>
        </w:rPr>
        <w:t xml:space="preserve">administrativa, así como la racionalización de personal de dichas empresas. En particular, el decreto permitió que las empresas iniciaran programas de cese voluntario con o sin incentivos. </w:t>
      </w:r>
    </w:p>
    <w:p w14:paraId="5608DB6F" w14:textId="77777777" w:rsidR="001F4521" w:rsidRPr="00187D26" w:rsidRDefault="001F4521" w:rsidP="001F4521">
      <w:pPr>
        <w:spacing w:after="0" w:line="240" w:lineRule="auto"/>
        <w:jc w:val="both"/>
        <w:rPr>
          <w:rFonts w:ascii="Cambria" w:hAnsi="Cambria"/>
          <w:sz w:val="20"/>
          <w:szCs w:val="20"/>
          <w:lang w:val="es-CO"/>
        </w:rPr>
      </w:pPr>
    </w:p>
    <w:p w14:paraId="50792463" w14:textId="0A6582A7" w:rsidR="001F4521" w:rsidRPr="00187D26" w:rsidRDefault="00C61051" w:rsidP="00C61051">
      <w:pPr>
        <w:tabs>
          <w:tab w:val="left" w:pos="360"/>
        </w:tabs>
        <w:spacing w:after="0" w:line="240" w:lineRule="auto"/>
        <w:jc w:val="both"/>
        <w:rPr>
          <w:rFonts w:ascii="Cambria" w:hAnsi="Cambria"/>
          <w:sz w:val="20"/>
          <w:szCs w:val="20"/>
          <w:lang w:val="es-CO"/>
        </w:rPr>
      </w:pPr>
      <w:r w:rsidRPr="00187D26">
        <w:rPr>
          <w:rFonts w:ascii="Cambria" w:hAnsi="Cambria"/>
          <w:sz w:val="20"/>
          <w:szCs w:val="20"/>
          <w:lang w:val="es-CO"/>
        </w:rPr>
        <w:tab/>
      </w:r>
      <w:r w:rsidR="001F4521" w:rsidRPr="00187D26">
        <w:rPr>
          <w:rFonts w:ascii="Cambria" w:hAnsi="Cambria"/>
          <w:sz w:val="20"/>
          <w:szCs w:val="20"/>
          <w:lang w:val="es-CO"/>
        </w:rPr>
        <w:t>El 3 de enero de 1996 se adoptó el Decreto Supremo 072-95-PCM mediante el cual se autorizó a Petroperú a ejecutar un plan de racionalización de trabajadores bajo el amparo de lo establecido en el Decreto Ley No. 26120.</w:t>
      </w:r>
      <w:r w:rsidR="00077389" w:rsidRPr="00187D26">
        <w:rPr>
          <w:rFonts w:ascii="Cambria" w:hAnsi="Cambria"/>
          <w:sz w:val="20"/>
          <w:szCs w:val="20"/>
          <w:lang w:val="es-CO"/>
        </w:rPr>
        <w:t xml:space="preserve"> </w:t>
      </w:r>
      <w:r w:rsidR="001F4521" w:rsidRPr="00187D26">
        <w:rPr>
          <w:rFonts w:ascii="Cambria" w:hAnsi="Cambria"/>
          <w:sz w:val="20"/>
          <w:szCs w:val="20"/>
          <w:lang w:val="es-CO"/>
        </w:rPr>
        <w:t>El 30 de enero de 1996 el Sindicato Único de Trabajadores de Petróleos del Perú, presentó una comunicación ante el jefe de la Oficina Regional de Trabajo de Talara informando de la presunta irregularidad del proceso de reducción de personal que se estaría llevando a cabo en base a la legislación adoptada</w:t>
      </w:r>
      <w:r w:rsidR="00077389" w:rsidRPr="00187D26">
        <w:rPr>
          <w:rFonts w:ascii="Cambria" w:hAnsi="Cambria"/>
          <w:sz w:val="20"/>
          <w:szCs w:val="20"/>
          <w:lang w:val="es-CO"/>
        </w:rPr>
        <w:t xml:space="preserve">, sobre la </w:t>
      </w:r>
      <w:r w:rsidR="00646034" w:rsidRPr="00187D26">
        <w:rPr>
          <w:rFonts w:ascii="Cambria" w:hAnsi="Cambria"/>
          <w:sz w:val="20"/>
          <w:szCs w:val="20"/>
          <w:lang w:val="es-CO"/>
        </w:rPr>
        <w:t>cual,</w:t>
      </w:r>
      <w:r w:rsidR="00077389" w:rsidRPr="00187D26">
        <w:rPr>
          <w:rFonts w:ascii="Cambria" w:hAnsi="Cambria"/>
          <w:sz w:val="20"/>
          <w:szCs w:val="20"/>
          <w:lang w:val="es-CO"/>
        </w:rPr>
        <w:t xml:space="preserve"> de acuerdo con lo indicado por l</w:t>
      </w:r>
      <w:r w:rsidR="001F4521" w:rsidRPr="00187D26">
        <w:rPr>
          <w:rFonts w:ascii="Cambria" w:hAnsi="Cambria"/>
          <w:sz w:val="20"/>
          <w:szCs w:val="20"/>
          <w:lang w:val="es-CO"/>
        </w:rPr>
        <w:t>os peticionarios</w:t>
      </w:r>
      <w:r w:rsidR="00077389" w:rsidRPr="00187D26">
        <w:rPr>
          <w:rFonts w:ascii="Cambria" w:hAnsi="Cambria"/>
          <w:sz w:val="20"/>
          <w:szCs w:val="20"/>
          <w:lang w:val="es-CO"/>
        </w:rPr>
        <w:t>, no recibieron respuesta.</w:t>
      </w:r>
      <w:r w:rsidR="001F4521" w:rsidRPr="00187D26">
        <w:rPr>
          <w:rFonts w:ascii="Cambria" w:hAnsi="Cambria"/>
          <w:sz w:val="20"/>
          <w:szCs w:val="20"/>
          <w:lang w:val="es-CO"/>
        </w:rPr>
        <w:t xml:space="preserve"> </w:t>
      </w:r>
    </w:p>
    <w:p w14:paraId="66A3CB87" w14:textId="77777777" w:rsidR="001F4521" w:rsidRPr="00187D26" w:rsidRDefault="001F4521" w:rsidP="001F4521">
      <w:pPr>
        <w:spacing w:after="0" w:line="240" w:lineRule="auto"/>
        <w:jc w:val="both"/>
        <w:rPr>
          <w:rFonts w:ascii="Cambria" w:hAnsi="Cambria"/>
          <w:sz w:val="20"/>
          <w:szCs w:val="20"/>
          <w:lang w:val="es-CO"/>
        </w:rPr>
      </w:pPr>
    </w:p>
    <w:p w14:paraId="5275C168" w14:textId="324A25A7" w:rsidR="001F4521" w:rsidRPr="00187D26" w:rsidRDefault="00077389" w:rsidP="00077389">
      <w:pPr>
        <w:tabs>
          <w:tab w:val="left" w:pos="360"/>
        </w:tabs>
        <w:spacing w:after="0" w:line="240" w:lineRule="auto"/>
        <w:jc w:val="both"/>
        <w:rPr>
          <w:rFonts w:ascii="Cambria" w:hAnsi="Cambria"/>
          <w:sz w:val="20"/>
          <w:szCs w:val="20"/>
          <w:lang w:val="es-CO"/>
        </w:rPr>
      </w:pPr>
      <w:r w:rsidRPr="00187D26">
        <w:rPr>
          <w:rFonts w:ascii="Cambria" w:hAnsi="Cambria"/>
          <w:sz w:val="20"/>
          <w:szCs w:val="20"/>
          <w:lang w:val="es-CO"/>
        </w:rPr>
        <w:tab/>
        <w:t>D</w:t>
      </w:r>
      <w:r w:rsidR="001F4521" w:rsidRPr="00187D26">
        <w:rPr>
          <w:rFonts w:ascii="Cambria" w:hAnsi="Cambria"/>
          <w:sz w:val="20"/>
          <w:szCs w:val="20"/>
          <w:lang w:val="es-CO"/>
        </w:rPr>
        <w:t>urante enero de 1996 las víctimas empezaron a recibir cartas notariales mediante las cuales se les invitaba a participar de un programa de retiro voluntario pues, de lo contrario, se procedería a su despido. El 6 de febrero de 1996 las víctimas recibieron cartas notariales de Petroperú en donde se les indicaba que, al no haberse acogido al programa de retiro con incentivos, el vínculo con la empresa quedaba disuelto. Al día siguiente el Sindicato se dirigió ante la Autoridad del Trabajo para denunciar que</w:t>
      </w:r>
      <w:r w:rsidR="00066735" w:rsidRPr="00187D26">
        <w:rPr>
          <w:rFonts w:ascii="Cambria" w:hAnsi="Cambria"/>
          <w:sz w:val="20"/>
          <w:szCs w:val="20"/>
          <w:lang w:val="es-CO"/>
        </w:rPr>
        <w:t>,</w:t>
      </w:r>
      <w:r w:rsidR="001F4521" w:rsidRPr="00187D26">
        <w:rPr>
          <w:rFonts w:ascii="Cambria" w:hAnsi="Cambria"/>
          <w:sz w:val="20"/>
          <w:szCs w:val="20"/>
          <w:lang w:val="es-CO"/>
        </w:rPr>
        <w:t xml:space="preserve"> al no haberse abierto un expediente por la Autoridad del Trabajo y posteriormente notificado al Sindicato sobre el mismo, se les había vulnerado a los trabajadores su derecho a la defensa y al debido proceso sin recibir respuesta. </w:t>
      </w:r>
    </w:p>
    <w:p w14:paraId="26E1C76F" w14:textId="77777777" w:rsidR="00441C5C" w:rsidRPr="00187D26" w:rsidRDefault="00441C5C" w:rsidP="001F4521">
      <w:pPr>
        <w:spacing w:after="0" w:line="240" w:lineRule="auto"/>
        <w:jc w:val="both"/>
        <w:rPr>
          <w:rFonts w:ascii="Cambria" w:hAnsi="Cambria"/>
          <w:sz w:val="20"/>
          <w:szCs w:val="20"/>
          <w:lang w:val="es-CO"/>
        </w:rPr>
      </w:pPr>
    </w:p>
    <w:p w14:paraId="1C37D478" w14:textId="77777777" w:rsidR="00066735" w:rsidRPr="00187D26" w:rsidRDefault="00066735" w:rsidP="00441C5C">
      <w:pPr>
        <w:spacing w:after="0" w:line="240" w:lineRule="auto"/>
        <w:jc w:val="both"/>
        <w:rPr>
          <w:rFonts w:ascii="Cambria" w:hAnsi="Cambria" w:cs="Calibri"/>
          <w:sz w:val="20"/>
          <w:szCs w:val="20"/>
          <w:lang w:val="es-CO"/>
        </w:rPr>
      </w:pPr>
    </w:p>
    <w:p w14:paraId="2FE93DAD" w14:textId="77777777" w:rsidR="001B7206" w:rsidRPr="00187D26" w:rsidRDefault="001B7206" w:rsidP="00441C5C">
      <w:pPr>
        <w:spacing w:after="0" w:line="240" w:lineRule="auto"/>
        <w:jc w:val="both"/>
        <w:rPr>
          <w:rFonts w:ascii="Cambria" w:hAnsi="Cambria" w:cs="Calibri"/>
          <w:sz w:val="20"/>
          <w:szCs w:val="20"/>
          <w:lang w:val="es-CO"/>
        </w:rPr>
      </w:pPr>
    </w:p>
    <w:p w14:paraId="40E60F76" w14:textId="6CF2085D" w:rsidR="00441C5C" w:rsidRPr="00187D26" w:rsidRDefault="00441C5C" w:rsidP="00441C5C">
      <w:pPr>
        <w:spacing w:after="0" w:line="240" w:lineRule="auto"/>
        <w:jc w:val="both"/>
        <w:rPr>
          <w:rFonts w:ascii="Cambria" w:hAnsi="Cambria" w:cs="Calibri"/>
          <w:sz w:val="20"/>
          <w:szCs w:val="20"/>
          <w:lang w:val="es-CO"/>
        </w:rPr>
      </w:pPr>
      <w:r w:rsidRPr="00187D26">
        <w:rPr>
          <w:rFonts w:ascii="Cambria" w:hAnsi="Cambria" w:cs="Calibri"/>
          <w:sz w:val="20"/>
          <w:szCs w:val="20"/>
          <w:lang w:val="es-CO"/>
        </w:rPr>
        <w:t>Señor</w:t>
      </w:r>
    </w:p>
    <w:p w14:paraId="54EBFA48" w14:textId="77777777" w:rsidR="00441C5C" w:rsidRPr="00187D26" w:rsidRDefault="00441C5C" w:rsidP="00441C5C">
      <w:pPr>
        <w:spacing w:after="0" w:line="240" w:lineRule="auto"/>
        <w:jc w:val="both"/>
        <w:rPr>
          <w:rFonts w:ascii="Cambria" w:hAnsi="Cambria" w:cs="Calibri"/>
          <w:sz w:val="20"/>
          <w:szCs w:val="20"/>
          <w:lang w:val="es-CO"/>
        </w:rPr>
      </w:pPr>
      <w:r w:rsidRPr="00187D26">
        <w:rPr>
          <w:rFonts w:ascii="Cambria" w:hAnsi="Cambria" w:cs="Calibri"/>
          <w:sz w:val="20"/>
          <w:szCs w:val="20"/>
          <w:lang w:val="es-CO"/>
        </w:rPr>
        <w:t>Pablo Saavedra Alessandri</w:t>
      </w:r>
    </w:p>
    <w:p w14:paraId="7BED82E1" w14:textId="77777777" w:rsidR="00441C5C" w:rsidRPr="00187D26" w:rsidRDefault="00441C5C" w:rsidP="00441C5C">
      <w:pPr>
        <w:spacing w:after="0" w:line="240" w:lineRule="auto"/>
        <w:jc w:val="both"/>
        <w:rPr>
          <w:rFonts w:ascii="Cambria" w:hAnsi="Cambria" w:cs="Calibri"/>
          <w:sz w:val="20"/>
          <w:szCs w:val="20"/>
          <w:lang w:val="es-CO"/>
        </w:rPr>
      </w:pPr>
      <w:r w:rsidRPr="00187D26">
        <w:rPr>
          <w:rFonts w:ascii="Cambria" w:hAnsi="Cambria" w:cs="Calibri"/>
          <w:sz w:val="20"/>
          <w:szCs w:val="20"/>
          <w:lang w:val="es-CO"/>
        </w:rPr>
        <w:t>Secretario</w:t>
      </w:r>
    </w:p>
    <w:p w14:paraId="61C2F310" w14:textId="77777777" w:rsidR="00441C5C" w:rsidRPr="00187D26" w:rsidRDefault="00441C5C" w:rsidP="00441C5C">
      <w:pPr>
        <w:spacing w:after="0" w:line="240" w:lineRule="auto"/>
        <w:jc w:val="both"/>
        <w:rPr>
          <w:rFonts w:ascii="Cambria" w:hAnsi="Cambria" w:cs="Calibri"/>
          <w:sz w:val="20"/>
          <w:szCs w:val="20"/>
          <w:lang w:val="es-CO"/>
        </w:rPr>
      </w:pPr>
      <w:r w:rsidRPr="00187D26">
        <w:rPr>
          <w:rFonts w:ascii="Cambria" w:hAnsi="Cambria" w:cs="Calibri"/>
          <w:sz w:val="20"/>
          <w:szCs w:val="20"/>
          <w:lang w:val="es-CO"/>
        </w:rPr>
        <w:t>Corte Interamericana de Derechos Humanos</w:t>
      </w:r>
    </w:p>
    <w:p w14:paraId="0EF39A70" w14:textId="4282B7B1" w:rsidR="00441C5C" w:rsidRPr="00187D26" w:rsidRDefault="00441C5C" w:rsidP="00441C5C">
      <w:pPr>
        <w:spacing w:after="0" w:line="240" w:lineRule="auto"/>
        <w:jc w:val="both"/>
        <w:rPr>
          <w:rFonts w:ascii="Cambria" w:hAnsi="Cambria"/>
          <w:b/>
          <w:bCs/>
          <w:sz w:val="20"/>
          <w:szCs w:val="20"/>
          <w:lang w:val="es-CO"/>
        </w:rPr>
      </w:pPr>
      <w:r w:rsidRPr="00187D26">
        <w:rPr>
          <w:rFonts w:ascii="Cambria" w:hAnsi="Cambria" w:cs="Calibri"/>
          <w:sz w:val="20"/>
          <w:szCs w:val="20"/>
          <w:lang w:val="es-CO"/>
        </w:rPr>
        <w:t>San José, Costa Rica</w:t>
      </w:r>
    </w:p>
    <w:p w14:paraId="0300035A" w14:textId="77777777" w:rsidR="00441C5C" w:rsidRPr="00187D26" w:rsidRDefault="00441C5C" w:rsidP="001F4521">
      <w:pPr>
        <w:spacing w:after="0" w:line="240" w:lineRule="auto"/>
        <w:jc w:val="both"/>
        <w:rPr>
          <w:rFonts w:ascii="Cambria" w:hAnsi="Cambria"/>
          <w:sz w:val="20"/>
          <w:szCs w:val="20"/>
          <w:lang w:val="es-CO"/>
        </w:rPr>
      </w:pPr>
    </w:p>
    <w:p w14:paraId="0A898BA6" w14:textId="42FB6FE4" w:rsidR="001F4521" w:rsidRPr="00187D26" w:rsidRDefault="00066735" w:rsidP="00066735">
      <w:pPr>
        <w:tabs>
          <w:tab w:val="left" w:pos="360"/>
        </w:tabs>
        <w:spacing w:after="0" w:line="240" w:lineRule="auto"/>
        <w:jc w:val="both"/>
        <w:rPr>
          <w:rFonts w:ascii="Cambria" w:hAnsi="Cambria"/>
          <w:sz w:val="20"/>
          <w:szCs w:val="20"/>
          <w:lang w:val="es-CO"/>
        </w:rPr>
      </w:pPr>
      <w:r w:rsidRPr="00187D26">
        <w:rPr>
          <w:rFonts w:ascii="Cambria" w:hAnsi="Cambria"/>
          <w:sz w:val="20"/>
          <w:szCs w:val="20"/>
          <w:lang w:val="es-CO"/>
        </w:rPr>
        <w:tab/>
        <w:t>Asimismo, e</w:t>
      </w:r>
      <w:r w:rsidR="001F4521" w:rsidRPr="00187D26">
        <w:rPr>
          <w:rFonts w:ascii="Cambria" w:hAnsi="Cambria"/>
          <w:sz w:val="20"/>
          <w:szCs w:val="20"/>
          <w:lang w:val="es-CO"/>
        </w:rPr>
        <w:t xml:space="preserve">l Sindicato presentó un recurso de amparo contra el Estado y la empresa PETROPERÚ solicitando la suspensión del Decreto Supremo No. 072-95-PCM al vulnerarse su derecho al trabajo. El 18 marzo de 1996 el Juzgado Especializado en lo Civil de Talara declaró improcedente el recurso. El Sindicato apeló y el 3 de julio de 1996 la Segunda Sala Civil de la Corte Superior de Piura confirmó la sentencia apelada. Además, presentaron una acción </w:t>
      </w:r>
      <w:r w:rsidR="00811A66" w:rsidRPr="00187D26">
        <w:rPr>
          <w:rFonts w:ascii="Cambria" w:hAnsi="Cambria"/>
          <w:sz w:val="20"/>
          <w:szCs w:val="20"/>
          <w:lang w:val="es-CO"/>
        </w:rPr>
        <w:t>contencioso-administrativa</w:t>
      </w:r>
      <w:r w:rsidR="001F4521" w:rsidRPr="00187D26">
        <w:rPr>
          <w:rFonts w:ascii="Cambria" w:hAnsi="Cambria"/>
          <w:sz w:val="20"/>
          <w:szCs w:val="20"/>
          <w:lang w:val="es-CO"/>
        </w:rPr>
        <w:t xml:space="preserve"> solicitando la declaratoria de nulidad de las resoluciones de la Dirección de Prevención y Solución de Conflictos Laborales y de la Dirección Regional de Piura. El 26 de febrero de 1996 la Segunda Sala de la Corte Superior de Piura declaró improcedente el recurso por resultar su petitorio “jurídicamente imposible”. </w:t>
      </w:r>
    </w:p>
    <w:p w14:paraId="6D7912C6" w14:textId="77777777" w:rsidR="001F4521" w:rsidRPr="00187D26" w:rsidRDefault="001F4521" w:rsidP="001F4521">
      <w:pPr>
        <w:spacing w:after="0" w:line="240" w:lineRule="auto"/>
        <w:jc w:val="both"/>
        <w:rPr>
          <w:rFonts w:ascii="Cambria" w:hAnsi="Cambria"/>
          <w:sz w:val="20"/>
          <w:szCs w:val="20"/>
          <w:lang w:val="es-CO"/>
        </w:rPr>
      </w:pPr>
    </w:p>
    <w:p w14:paraId="14B2F823" w14:textId="7B0265E8" w:rsidR="001F4521" w:rsidRPr="00187D26" w:rsidRDefault="00476093" w:rsidP="00476093">
      <w:pPr>
        <w:tabs>
          <w:tab w:val="left" w:pos="360"/>
        </w:tabs>
        <w:spacing w:after="0" w:line="240" w:lineRule="auto"/>
        <w:jc w:val="both"/>
        <w:rPr>
          <w:rFonts w:ascii="Cambria" w:hAnsi="Cambria"/>
          <w:sz w:val="20"/>
          <w:szCs w:val="20"/>
          <w:lang w:val="es-CO"/>
        </w:rPr>
      </w:pPr>
      <w:r w:rsidRPr="00187D26">
        <w:rPr>
          <w:rFonts w:ascii="Cambria" w:hAnsi="Cambria"/>
          <w:sz w:val="20"/>
          <w:szCs w:val="20"/>
          <w:lang w:val="es-CO"/>
        </w:rPr>
        <w:tab/>
      </w:r>
      <w:r w:rsidR="001F4521" w:rsidRPr="00187D26">
        <w:rPr>
          <w:rFonts w:ascii="Cambria" w:hAnsi="Cambria"/>
          <w:sz w:val="20"/>
          <w:szCs w:val="20"/>
          <w:lang w:val="es-CO"/>
        </w:rPr>
        <w:t xml:space="preserve">A partir de la instauración del gobierno de transición en el año 2000 fueron dictadas leyes y </w:t>
      </w:r>
      <w:r w:rsidR="00B5785D" w:rsidRPr="00187D26">
        <w:rPr>
          <w:rFonts w:ascii="Cambria" w:hAnsi="Cambria"/>
          <w:sz w:val="20"/>
          <w:szCs w:val="20"/>
          <w:lang w:val="es-CO"/>
        </w:rPr>
        <w:t>normativas</w:t>
      </w:r>
      <w:r w:rsidR="001F4521" w:rsidRPr="00187D26">
        <w:rPr>
          <w:rFonts w:ascii="Cambria" w:hAnsi="Cambria"/>
          <w:sz w:val="20"/>
          <w:szCs w:val="20"/>
          <w:lang w:val="es-CO"/>
        </w:rPr>
        <w:t xml:space="preserve"> administrativas que dispusieron la revisión de los ceses colectivos a efecto de brindar a los trabajadores cesados en el Sector Público la posibilidad de reivindicar sus derechos. Las Comisiones Especiales de revisión creadas a la luz de este marco normativo, ha tenido como consecuencia la determinación de la arbitrariedad de los despidos de miles de personas. Sin embargo, de acuerdo con lo informado por la parte peticionaria las víctimas del presente caso no han recibido ningún beneficio o indemnización por el despido arbitrario sufrido.</w:t>
      </w:r>
    </w:p>
    <w:p w14:paraId="6D1D9FCC" w14:textId="77777777" w:rsidR="003F1316" w:rsidRPr="00187D26" w:rsidRDefault="003F1316" w:rsidP="001F4521">
      <w:pPr>
        <w:tabs>
          <w:tab w:val="left" w:pos="360"/>
        </w:tabs>
        <w:spacing w:after="0" w:line="240" w:lineRule="auto"/>
        <w:ind w:hanging="2"/>
        <w:jc w:val="both"/>
        <w:rPr>
          <w:rFonts w:ascii="Cambria" w:eastAsia="Cambria" w:hAnsi="Cambria" w:cs="Cambria"/>
          <w:sz w:val="20"/>
          <w:szCs w:val="20"/>
          <w:lang w:val="es-CO"/>
        </w:rPr>
      </w:pPr>
    </w:p>
    <w:p w14:paraId="24883ED6" w14:textId="1B120631" w:rsidR="003F1316" w:rsidRPr="00187D26" w:rsidRDefault="00547D11" w:rsidP="001F4521">
      <w:pPr>
        <w:tabs>
          <w:tab w:val="left" w:pos="360"/>
        </w:tabs>
        <w:spacing w:after="0" w:line="240" w:lineRule="auto"/>
        <w:ind w:hanging="2"/>
        <w:jc w:val="both"/>
        <w:rPr>
          <w:rFonts w:ascii="Cambria" w:eastAsia="Cambria" w:hAnsi="Cambria" w:cs="Cambria"/>
          <w:sz w:val="20"/>
          <w:szCs w:val="20"/>
          <w:lang w:val="es-CO"/>
        </w:rPr>
      </w:pPr>
      <w:r w:rsidRPr="00187D26">
        <w:rPr>
          <w:rFonts w:ascii="Cambria" w:eastAsia="Arial Unicode MS" w:hAnsi="Cambria"/>
          <w:sz w:val="20"/>
          <w:szCs w:val="20"/>
          <w:lang w:val="es-CO"/>
        </w:rPr>
        <w:tab/>
      </w:r>
      <w:r w:rsidRPr="00187D26">
        <w:rPr>
          <w:rFonts w:ascii="Cambria" w:eastAsia="Arial Unicode MS" w:hAnsi="Cambria"/>
          <w:sz w:val="20"/>
          <w:szCs w:val="20"/>
          <w:lang w:val="es-CO"/>
        </w:rPr>
        <w:tab/>
      </w:r>
      <w:r w:rsidR="00A6461C" w:rsidRPr="00187D26">
        <w:rPr>
          <w:rFonts w:ascii="Cambria" w:eastAsia="Arial Unicode MS" w:hAnsi="Cambria"/>
          <w:sz w:val="20"/>
          <w:szCs w:val="20"/>
          <w:lang w:val="es-CO"/>
        </w:rPr>
        <w:t>En su Informe de Admisibilidad y Fondo No. 396/20 la Comisión</w:t>
      </w:r>
      <w:r w:rsidR="003F1316" w:rsidRPr="00187D26">
        <w:rPr>
          <w:rFonts w:ascii="Cambria" w:eastAsia="Cambria" w:hAnsi="Cambria" w:cs="Cambria"/>
          <w:sz w:val="20"/>
          <w:szCs w:val="20"/>
          <w:lang w:val="es-CO"/>
        </w:rPr>
        <w:t xml:space="preserve"> </w:t>
      </w:r>
      <w:r w:rsidR="00B91491" w:rsidRPr="00187D26">
        <w:rPr>
          <w:rFonts w:ascii="Cambria" w:eastAsia="Cambria" w:hAnsi="Cambria" w:cs="Cambria"/>
          <w:sz w:val="20"/>
          <w:szCs w:val="20"/>
          <w:lang w:val="es-US"/>
        </w:rPr>
        <w:t>notó</w:t>
      </w:r>
      <w:r w:rsidR="003F1316" w:rsidRPr="00187D26">
        <w:rPr>
          <w:rFonts w:ascii="Cambria" w:eastAsia="Cambria" w:hAnsi="Cambria" w:cs="Cambria"/>
          <w:sz w:val="20"/>
          <w:szCs w:val="20"/>
          <w:lang w:val="es-CO"/>
        </w:rPr>
        <w:t xml:space="preserve"> que en su sentencia del </w:t>
      </w:r>
      <w:r w:rsidR="003F1316" w:rsidRPr="00187D26">
        <w:rPr>
          <w:rFonts w:ascii="Cambria" w:eastAsia="Cambria" w:hAnsi="Cambria" w:cs="Cambria"/>
          <w:i/>
          <w:sz w:val="20"/>
          <w:szCs w:val="20"/>
          <w:lang w:val="es-CO"/>
        </w:rPr>
        <w:t>Caso</w:t>
      </w:r>
      <w:r w:rsidR="003F1316" w:rsidRPr="00187D26">
        <w:rPr>
          <w:rFonts w:ascii="Cambria" w:eastAsia="Cambria" w:hAnsi="Cambria" w:cs="Cambria"/>
          <w:sz w:val="20"/>
          <w:szCs w:val="20"/>
          <w:lang w:val="es-CO"/>
        </w:rPr>
        <w:t xml:space="preserve"> </w:t>
      </w:r>
      <w:r w:rsidR="003F1316" w:rsidRPr="00187D26">
        <w:rPr>
          <w:rFonts w:ascii="Cambria" w:eastAsia="Cambria" w:hAnsi="Cambria" w:cs="Cambria"/>
          <w:i/>
          <w:sz w:val="20"/>
          <w:szCs w:val="20"/>
          <w:lang w:val="es-CO"/>
        </w:rPr>
        <w:t xml:space="preserve">Trabajadores Cesados de Petroperú y otros vs. Perú </w:t>
      </w:r>
      <w:r w:rsidR="003F1316" w:rsidRPr="00187D26">
        <w:rPr>
          <w:rFonts w:ascii="Cambria" w:eastAsia="Cambria" w:hAnsi="Cambria" w:cs="Cambria"/>
          <w:sz w:val="20"/>
          <w:szCs w:val="20"/>
          <w:lang w:val="es-CO"/>
        </w:rPr>
        <w:t xml:space="preserve">la Corte Interamericana analizó los ceses colectivos de los ex trabajadores de Petroperú y concluyó que el Estado violó los derechos a las garantías judiciales, a la protección judicial y al trabajo. </w:t>
      </w:r>
      <w:r w:rsidRPr="00187D26">
        <w:rPr>
          <w:rFonts w:ascii="Cambria" w:eastAsia="Cambria" w:hAnsi="Cambria" w:cs="Cambria"/>
          <w:sz w:val="20"/>
          <w:szCs w:val="20"/>
          <w:lang w:val="es-CO"/>
        </w:rPr>
        <w:t>En este sentido, l</w:t>
      </w:r>
      <w:r w:rsidR="003F1316" w:rsidRPr="00187D26">
        <w:rPr>
          <w:rFonts w:ascii="Cambria" w:eastAsia="Cambria" w:hAnsi="Cambria" w:cs="Cambria"/>
          <w:sz w:val="20"/>
          <w:szCs w:val="20"/>
          <w:lang w:val="es-CO"/>
        </w:rPr>
        <w:t xml:space="preserve">a CIDH </w:t>
      </w:r>
      <w:r w:rsidRPr="00187D26">
        <w:rPr>
          <w:rFonts w:ascii="Cambria" w:eastAsia="Cambria" w:hAnsi="Cambria" w:cs="Cambria"/>
          <w:sz w:val="20"/>
          <w:szCs w:val="20"/>
          <w:lang w:val="es-CO"/>
        </w:rPr>
        <w:t xml:space="preserve">consideró que el pronunciamiento de </w:t>
      </w:r>
      <w:r w:rsidR="003F1316" w:rsidRPr="00187D26">
        <w:rPr>
          <w:rFonts w:ascii="Cambria" w:eastAsia="Cambria" w:hAnsi="Cambria" w:cs="Cambria"/>
          <w:sz w:val="20"/>
          <w:szCs w:val="20"/>
          <w:lang w:val="es-CO"/>
        </w:rPr>
        <w:t xml:space="preserve">la Corte </w:t>
      </w:r>
      <w:r w:rsidRPr="00187D26">
        <w:rPr>
          <w:rFonts w:ascii="Cambria" w:eastAsia="Cambria" w:hAnsi="Cambria" w:cs="Cambria"/>
          <w:sz w:val="20"/>
          <w:szCs w:val="20"/>
          <w:lang w:val="es-CO"/>
        </w:rPr>
        <w:t xml:space="preserve">resultaba aplicable a </w:t>
      </w:r>
      <w:r w:rsidR="003F1316" w:rsidRPr="00187D26">
        <w:rPr>
          <w:rFonts w:ascii="Cambria" w:eastAsia="Cambria" w:hAnsi="Cambria" w:cs="Cambria"/>
          <w:sz w:val="20"/>
          <w:szCs w:val="20"/>
          <w:lang w:val="es-CO"/>
        </w:rPr>
        <w:t>las víctimas identificadas en el presente caso por tratarse de la misma plataforma fáctica</w:t>
      </w:r>
      <w:r w:rsidRPr="00187D26">
        <w:rPr>
          <w:rFonts w:ascii="Cambria" w:eastAsia="Cambria" w:hAnsi="Cambria" w:cs="Cambria"/>
          <w:sz w:val="20"/>
          <w:szCs w:val="20"/>
          <w:lang w:val="es-CO"/>
        </w:rPr>
        <w:t xml:space="preserve"> y concluyó que el Estado es responsable por la violación de los derechos a las garantías judiciales y a la protección judicial</w:t>
      </w:r>
      <w:r w:rsidR="003F1316" w:rsidRPr="00187D26">
        <w:rPr>
          <w:rFonts w:ascii="Cambria" w:eastAsia="Cambria" w:hAnsi="Cambria" w:cs="Cambria"/>
          <w:sz w:val="20"/>
          <w:szCs w:val="20"/>
          <w:lang w:val="es-CO"/>
        </w:rPr>
        <w:t xml:space="preserve">. </w:t>
      </w:r>
    </w:p>
    <w:p w14:paraId="3B656FBF" w14:textId="77777777" w:rsidR="00547D11" w:rsidRPr="00187D26" w:rsidRDefault="00547D11" w:rsidP="003F1316">
      <w:pPr>
        <w:tabs>
          <w:tab w:val="left" w:pos="360"/>
        </w:tabs>
        <w:spacing w:after="0" w:line="240" w:lineRule="auto"/>
        <w:ind w:hanging="2"/>
        <w:jc w:val="both"/>
        <w:rPr>
          <w:rFonts w:ascii="Cambria" w:eastAsia="Cambria" w:hAnsi="Cambria" w:cs="Cambria"/>
          <w:sz w:val="20"/>
          <w:szCs w:val="20"/>
          <w:lang w:val="es-CO"/>
        </w:rPr>
      </w:pPr>
    </w:p>
    <w:p w14:paraId="552678F9" w14:textId="66861031" w:rsidR="00547D11" w:rsidRPr="00187D26" w:rsidRDefault="00547D11" w:rsidP="003F1316">
      <w:pPr>
        <w:tabs>
          <w:tab w:val="left" w:pos="360"/>
        </w:tabs>
        <w:spacing w:after="0" w:line="240" w:lineRule="auto"/>
        <w:ind w:hanging="2"/>
        <w:jc w:val="both"/>
        <w:rPr>
          <w:rFonts w:ascii="Cambria" w:eastAsia="Cambria" w:hAnsi="Cambria" w:cs="Cambria"/>
          <w:sz w:val="20"/>
          <w:szCs w:val="20"/>
          <w:lang w:val="es-CO"/>
        </w:rPr>
      </w:pPr>
      <w:r w:rsidRPr="00187D26">
        <w:rPr>
          <w:rFonts w:ascii="Cambria" w:eastAsia="Cambria" w:hAnsi="Cambria" w:cs="Cambria"/>
          <w:sz w:val="20"/>
          <w:szCs w:val="20"/>
          <w:lang w:val="es-CO"/>
        </w:rPr>
        <w:tab/>
      </w:r>
      <w:r w:rsidRPr="00187D26">
        <w:rPr>
          <w:rFonts w:ascii="Cambria" w:eastAsia="Cambria" w:hAnsi="Cambria" w:cs="Cambria"/>
          <w:sz w:val="20"/>
          <w:szCs w:val="20"/>
          <w:lang w:val="es-CO"/>
        </w:rPr>
        <w:tab/>
        <w:t xml:space="preserve">Asimismo, la Comisión observó que el Estado reconoció la existencia de posibles irregularidades en los procedimientos que aplicaron las decisiones de ceses colectivos adoptados en el contexto del presente caso, de modo tal que incluso tomó medidas internas posteriores dirigidas a cautelar tales derechos laborales. La Comisión </w:t>
      </w:r>
      <w:r w:rsidR="002D7FA4" w:rsidRPr="00187D26">
        <w:rPr>
          <w:rFonts w:ascii="Cambria" w:eastAsia="Cambria" w:hAnsi="Cambria" w:cs="Cambria"/>
          <w:sz w:val="20"/>
          <w:szCs w:val="20"/>
          <w:lang w:val="es-CO"/>
        </w:rPr>
        <w:t>notó</w:t>
      </w:r>
      <w:r w:rsidRPr="00187D26">
        <w:rPr>
          <w:rFonts w:ascii="Cambria" w:eastAsia="Cambria" w:hAnsi="Cambria" w:cs="Cambria"/>
          <w:sz w:val="20"/>
          <w:szCs w:val="20"/>
          <w:lang w:val="es-CO"/>
        </w:rPr>
        <w:t xml:space="preserve"> que, después de 24 años de sucedidos los hechos, ninguna de estas medidas estatales posteriores habría sido aplicadas a la situación de las víctimas del caso, ni se conoce por qué no entrarían en tales supuestos. La Comisión tampoco encontró elementos de prueba en el expediente que permitan analizar la aplicación concreta de garantías laborales específicas ante la figura de ceses colectivos, lo cual adquiere mayor relevancia teniendo en cuenta el control del Estado sobre la empresa pública donde trabajaban tales personas, por lo que reconoció que estos elementos vistos conjunta y objetivamente permiten indicar razonablemente la existencia de deficiencias en los procedimientos del cese colectivo laboral en detrimento del derecho al trabajo de las víctimas así como de la subsiguiente falta de protección judicial.</w:t>
      </w:r>
    </w:p>
    <w:p w14:paraId="4BF6CD64" w14:textId="77777777" w:rsidR="00547D11" w:rsidRPr="00187D26" w:rsidRDefault="00547D11" w:rsidP="003F1316">
      <w:pPr>
        <w:tabs>
          <w:tab w:val="left" w:pos="360"/>
        </w:tabs>
        <w:spacing w:after="0" w:line="240" w:lineRule="auto"/>
        <w:ind w:hanging="2"/>
        <w:jc w:val="both"/>
        <w:rPr>
          <w:rFonts w:ascii="Cambria" w:eastAsia="Cambria" w:hAnsi="Cambria" w:cs="Cambria"/>
          <w:sz w:val="20"/>
          <w:szCs w:val="20"/>
          <w:lang w:val="es-CO"/>
        </w:rPr>
      </w:pPr>
    </w:p>
    <w:p w14:paraId="77E159E3" w14:textId="5F8240CF" w:rsidR="000314E6" w:rsidRPr="00187D26" w:rsidRDefault="002D7FA4" w:rsidP="000314E6">
      <w:pPr>
        <w:tabs>
          <w:tab w:val="left" w:pos="360"/>
        </w:tabs>
        <w:spacing w:after="0" w:line="240" w:lineRule="auto"/>
        <w:ind w:hanging="2"/>
        <w:jc w:val="both"/>
        <w:rPr>
          <w:rFonts w:ascii="Cambria" w:eastAsia="Cambria" w:hAnsi="Cambria" w:cs="Cambria"/>
          <w:sz w:val="20"/>
          <w:szCs w:val="20"/>
          <w:lang w:val="es-CO"/>
        </w:rPr>
      </w:pPr>
      <w:r w:rsidRPr="00187D26">
        <w:rPr>
          <w:rFonts w:ascii="Cambria" w:eastAsia="Cambria" w:hAnsi="Cambria" w:cs="Cambria"/>
          <w:sz w:val="20"/>
          <w:szCs w:val="20"/>
          <w:lang w:val="es-CO"/>
        </w:rPr>
        <w:tab/>
      </w:r>
      <w:r w:rsidRPr="00187D26">
        <w:rPr>
          <w:rFonts w:ascii="Cambria" w:eastAsia="Cambria" w:hAnsi="Cambria" w:cs="Cambria"/>
          <w:sz w:val="20"/>
          <w:szCs w:val="20"/>
          <w:lang w:val="es-CO"/>
        </w:rPr>
        <w:tab/>
      </w:r>
      <w:r w:rsidR="000314E6" w:rsidRPr="00187D26">
        <w:rPr>
          <w:rFonts w:ascii="Cambria" w:eastAsia="Cambria" w:hAnsi="Cambria" w:cs="Cambria"/>
          <w:sz w:val="20"/>
          <w:szCs w:val="20"/>
          <w:lang w:val="es-CO"/>
        </w:rPr>
        <w:t xml:space="preserve">De igual forma, la Comisión recordó que la Corte IDH ya analizó la violación del derecho al trabajo en relación con los hechos del presente caso en su sentencia de los </w:t>
      </w:r>
      <w:r w:rsidR="000314E6" w:rsidRPr="00187D26">
        <w:rPr>
          <w:rFonts w:ascii="Cambria" w:eastAsia="Cambria" w:hAnsi="Cambria" w:cs="Cambria"/>
          <w:i/>
          <w:iCs/>
          <w:sz w:val="20"/>
          <w:szCs w:val="20"/>
          <w:lang w:val="es-CO"/>
        </w:rPr>
        <w:t>Trabajadores Cesados de Petroperú y otros vs. Perú</w:t>
      </w:r>
      <w:r w:rsidR="000D1B60" w:rsidRPr="00187D26">
        <w:rPr>
          <w:rFonts w:ascii="Cambria" w:eastAsia="Cambria" w:hAnsi="Cambria" w:cs="Cambria"/>
          <w:i/>
          <w:iCs/>
          <w:sz w:val="20"/>
          <w:szCs w:val="20"/>
          <w:lang w:val="es-CO"/>
        </w:rPr>
        <w:t xml:space="preserve"> </w:t>
      </w:r>
      <w:r w:rsidR="000D1B60" w:rsidRPr="00187D26">
        <w:rPr>
          <w:rFonts w:ascii="Cambria" w:eastAsia="Cambria" w:hAnsi="Cambria" w:cs="Cambria"/>
          <w:sz w:val="20"/>
          <w:szCs w:val="20"/>
          <w:lang w:val="es-CO"/>
        </w:rPr>
        <w:t>y se remitió a lo indicado por la Honorable Corte en cuanto a que la falta de acceso a un recurso judicial efectivo de las víctimas resultó también en una violación del derecho al trabajo en la medida en que el acceso a la justicia y tutela judicial efectiva resultan componentes esenciales de dicho derecho. Teniendo en cuenta todo lo anterior, la CIDH concluyó que el Estado es responsable por la</w:t>
      </w:r>
      <w:r w:rsidR="00E146DF" w:rsidRPr="00187D26">
        <w:rPr>
          <w:rFonts w:ascii="Cambria" w:eastAsia="Cambria" w:hAnsi="Cambria" w:cs="Cambria"/>
          <w:sz w:val="20"/>
          <w:szCs w:val="20"/>
          <w:lang w:val="es-CO"/>
        </w:rPr>
        <w:t xml:space="preserve"> violación del derecho a las garantías judiciales, a la protección judicial y al derecho al trabajo. </w:t>
      </w:r>
    </w:p>
    <w:p w14:paraId="258B64B2" w14:textId="77777777" w:rsidR="00E146DF" w:rsidRPr="00187D26" w:rsidRDefault="00E146DF" w:rsidP="000314E6">
      <w:pPr>
        <w:tabs>
          <w:tab w:val="left" w:pos="360"/>
        </w:tabs>
        <w:spacing w:after="0" w:line="240" w:lineRule="auto"/>
        <w:ind w:hanging="2"/>
        <w:jc w:val="both"/>
        <w:rPr>
          <w:rFonts w:ascii="Cambria" w:eastAsia="Cambria" w:hAnsi="Cambria" w:cs="Cambria"/>
          <w:i/>
          <w:iCs/>
          <w:sz w:val="20"/>
          <w:szCs w:val="20"/>
          <w:lang w:val="es-CO"/>
        </w:rPr>
      </w:pPr>
    </w:p>
    <w:p w14:paraId="0D86B735" w14:textId="65928C32" w:rsidR="00772A69" w:rsidRPr="00187D26" w:rsidRDefault="00547D11" w:rsidP="009D068C">
      <w:pPr>
        <w:tabs>
          <w:tab w:val="left" w:pos="360"/>
        </w:tabs>
        <w:spacing w:after="0" w:line="240" w:lineRule="auto"/>
        <w:jc w:val="both"/>
        <w:rPr>
          <w:rFonts w:ascii="Cambria" w:eastAsia="Cambria" w:hAnsi="Cambria" w:cs="Cambria"/>
          <w:sz w:val="20"/>
          <w:szCs w:val="20"/>
          <w:lang w:val="es-CO"/>
        </w:rPr>
      </w:pPr>
      <w:r w:rsidRPr="00187D26">
        <w:rPr>
          <w:rFonts w:ascii="Cambria" w:eastAsia="Cambria" w:hAnsi="Cambria" w:cs="Cambria"/>
          <w:sz w:val="20"/>
          <w:szCs w:val="20"/>
          <w:lang w:val="es-CO"/>
        </w:rPr>
        <w:t xml:space="preserve"> </w:t>
      </w:r>
      <w:r w:rsidR="002847AD" w:rsidRPr="00187D26">
        <w:rPr>
          <w:rFonts w:ascii="Cambria" w:eastAsia="Cambria" w:hAnsi="Cambria" w:cs="Cambria"/>
          <w:sz w:val="20"/>
          <w:szCs w:val="20"/>
          <w:lang w:val="es-CO"/>
        </w:rPr>
        <w:tab/>
      </w:r>
      <w:r w:rsidRPr="00187D26">
        <w:rPr>
          <w:rFonts w:ascii="Cambria" w:hAnsi="Cambria" w:cs="Calibri"/>
          <w:sz w:val="20"/>
          <w:szCs w:val="20"/>
          <w:lang w:val="es-CO"/>
        </w:rPr>
        <w:t>Con base en las determinaciones de hecho y de derecho</w:t>
      </w:r>
      <w:r w:rsidR="003F1316" w:rsidRPr="00187D26">
        <w:rPr>
          <w:rFonts w:ascii="Cambria" w:eastAsia="Cambria" w:hAnsi="Cambria" w:cs="Cambria"/>
          <w:sz w:val="20"/>
          <w:szCs w:val="20"/>
          <w:lang w:val="es-CO"/>
        </w:rPr>
        <w:t xml:space="preserve">, la Comisión concluyó que </w:t>
      </w:r>
      <w:r w:rsidR="00441C5C" w:rsidRPr="00187D26">
        <w:rPr>
          <w:rFonts w:ascii="Cambria" w:eastAsia="Cambria" w:hAnsi="Cambria" w:cs="Cambria"/>
          <w:sz w:val="20"/>
          <w:szCs w:val="20"/>
          <w:lang w:val="es-CO"/>
        </w:rPr>
        <w:t>el Estado peruano es responsable por la violación de los derechos establecidos en los artículos 8.1 (garantías judiciales), 25.1 ((protección judicial) y 26 (derecho al trabajo) de la Convención Americana sobre Derechos Humanos, en relación con las obligaciones establecidas en el artículo 1.1 del mismo instrumento</w:t>
      </w:r>
      <w:r w:rsidR="003F1316" w:rsidRPr="00187D26">
        <w:rPr>
          <w:rFonts w:ascii="Cambria" w:hAnsi="Cambria"/>
          <w:sz w:val="20"/>
          <w:szCs w:val="20"/>
          <w:lang w:val="es-CO"/>
        </w:rPr>
        <w:t xml:space="preserve">. </w:t>
      </w:r>
    </w:p>
    <w:p w14:paraId="523BEB2C" w14:textId="10F499CF" w:rsidR="00772A69" w:rsidRPr="00187D26" w:rsidRDefault="00772A69" w:rsidP="00667B9D">
      <w:pPr>
        <w:pBdr>
          <w:top w:val="nil"/>
          <w:left w:val="nil"/>
          <w:bottom w:val="nil"/>
          <w:right w:val="nil"/>
          <w:between w:val="nil"/>
        </w:pBdr>
        <w:tabs>
          <w:tab w:val="left" w:pos="360"/>
        </w:tabs>
        <w:spacing w:after="0" w:line="240" w:lineRule="auto"/>
        <w:jc w:val="both"/>
        <w:rPr>
          <w:rFonts w:ascii="Cambria" w:eastAsia="Cambria" w:hAnsi="Cambria" w:cs="Cambria"/>
          <w:sz w:val="20"/>
          <w:szCs w:val="20"/>
          <w:lang w:val="es-CO"/>
        </w:rPr>
      </w:pPr>
    </w:p>
    <w:p w14:paraId="5FB9E4C1" w14:textId="77777777" w:rsidR="00772A69" w:rsidRPr="00187D26" w:rsidRDefault="00772A69" w:rsidP="00772A69">
      <w:pPr>
        <w:pStyle w:val="HTMLPreformatted"/>
        <w:tabs>
          <w:tab w:val="clear" w:pos="916"/>
          <w:tab w:val="left" w:pos="360"/>
          <w:tab w:val="left" w:pos="720"/>
        </w:tabs>
        <w:jc w:val="both"/>
        <w:rPr>
          <w:rFonts w:ascii="Cambria" w:hAnsi="Cambria" w:cs="Calibri"/>
          <w:lang w:val="es-CO"/>
        </w:rPr>
      </w:pPr>
      <w:r w:rsidRPr="00187D26">
        <w:rPr>
          <w:rFonts w:ascii="Cambria" w:hAnsi="Cambria" w:cs="Calibri"/>
          <w:lang w:val="es-CO"/>
        </w:rPr>
        <w:tab/>
        <w:t xml:space="preserve">El Estado de Perú depositó el instrumento de ratificación de la Convención Americana sobre Derechos Humanos el 28 de julio de 1978 y aceptó la competencia contenciosa de la Corte Interamericana el 21 de enero de 1981. </w:t>
      </w:r>
    </w:p>
    <w:p w14:paraId="79899DEC" w14:textId="77777777" w:rsidR="00772A69" w:rsidRPr="00187D26" w:rsidRDefault="00772A69" w:rsidP="00772A69">
      <w:pPr>
        <w:pStyle w:val="HTMLPreformatted"/>
        <w:tabs>
          <w:tab w:val="clear" w:pos="916"/>
          <w:tab w:val="left" w:pos="720"/>
        </w:tabs>
        <w:jc w:val="both"/>
        <w:rPr>
          <w:rFonts w:ascii="Cambria" w:hAnsi="Cambria" w:cs="Calibri"/>
          <w:lang w:val="es-CO"/>
        </w:rPr>
      </w:pPr>
    </w:p>
    <w:p w14:paraId="2F7C5076" w14:textId="569653F1" w:rsidR="00772A69" w:rsidRPr="00187D26" w:rsidRDefault="00772A69" w:rsidP="00772A69">
      <w:pPr>
        <w:tabs>
          <w:tab w:val="left" w:pos="360"/>
        </w:tabs>
        <w:spacing w:after="0" w:line="240" w:lineRule="auto"/>
        <w:jc w:val="both"/>
        <w:rPr>
          <w:rFonts w:ascii="Cambria" w:hAnsi="Cambria" w:cs="Calibri"/>
          <w:sz w:val="20"/>
          <w:szCs w:val="20"/>
          <w:highlight w:val="yellow"/>
          <w:lang w:val="es-CO"/>
        </w:rPr>
      </w:pPr>
      <w:r w:rsidRPr="00187D26">
        <w:rPr>
          <w:rFonts w:ascii="Cambria" w:hAnsi="Cambria" w:cs="Calibri"/>
          <w:sz w:val="20"/>
          <w:szCs w:val="20"/>
          <w:lang w:val="es-CO"/>
        </w:rPr>
        <w:lastRenderedPageBreak/>
        <w:tab/>
        <w:t xml:space="preserve">La Comisión ha designado al Comisionado Stuardo Ralón y a la Secretaria Ejecutiva Tania Reneaum Panszi como su delegado y delegada. Asimismo, ha designado a Jorge Meza Flores, Secretario Ejecutivo Adjunto, y a Erick Acuña, </w:t>
      </w:r>
      <w:r w:rsidR="00441C5C" w:rsidRPr="00187D26">
        <w:rPr>
          <w:rFonts w:ascii="Cambria" w:hAnsi="Cambria" w:cs="Calibri"/>
          <w:sz w:val="20"/>
          <w:szCs w:val="20"/>
          <w:lang w:val="es-CO"/>
        </w:rPr>
        <w:t>Coordinador de la Sección de Casos</w:t>
      </w:r>
      <w:r w:rsidRPr="00187D26">
        <w:rPr>
          <w:rFonts w:ascii="Cambria" w:hAnsi="Cambria" w:cs="Calibri"/>
          <w:sz w:val="20"/>
          <w:szCs w:val="20"/>
          <w:lang w:val="es-CO"/>
        </w:rPr>
        <w:t xml:space="preserve"> de la Secretaría Ejecutiva de la CIDH, quienes actuarán como asesores legales.</w:t>
      </w:r>
    </w:p>
    <w:p w14:paraId="4F277DBB" w14:textId="77777777" w:rsidR="00772A69" w:rsidRPr="00187D26" w:rsidRDefault="00772A69" w:rsidP="00772A69">
      <w:pPr>
        <w:spacing w:after="0" w:line="240" w:lineRule="auto"/>
        <w:jc w:val="both"/>
        <w:rPr>
          <w:rFonts w:ascii="Cambria" w:hAnsi="Cambria" w:cs="Calibri"/>
          <w:sz w:val="20"/>
          <w:szCs w:val="20"/>
          <w:highlight w:val="yellow"/>
          <w:lang w:val="es-CO"/>
        </w:rPr>
      </w:pPr>
    </w:p>
    <w:p w14:paraId="390F57FC" w14:textId="05C1D2FD" w:rsidR="00772A69" w:rsidRPr="00187D26" w:rsidRDefault="00772A69" w:rsidP="00772A69">
      <w:pPr>
        <w:tabs>
          <w:tab w:val="left" w:pos="360"/>
        </w:tabs>
        <w:spacing w:after="0" w:line="240" w:lineRule="auto"/>
        <w:jc w:val="both"/>
        <w:rPr>
          <w:rFonts w:ascii="Cambria" w:hAnsi="Cambria" w:cs="Calibri"/>
          <w:sz w:val="20"/>
          <w:szCs w:val="20"/>
          <w:lang w:val="es-CO"/>
        </w:rPr>
      </w:pPr>
      <w:r w:rsidRPr="00187D26">
        <w:rPr>
          <w:rFonts w:ascii="Cambria" w:hAnsi="Cambria" w:cs="Calibri"/>
          <w:sz w:val="20"/>
          <w:szCs w:val="20"/>
          <w:lang w:val="es-CO"/>
        </w:rPr>
        <w:tab/>
        <w:t xml:space="preserve">De conformidad con el artículo 35 del Reglamento de la Corte Interamericana, la Comisión adjunta copia del Informe de Admisibilidad y Fondo No. </w:t>
      </w:r>
      <w:r w:rsidR="00667B9D" w:rsidRPr="00187D26">
        <w:rPr>
          <w:rFonts w:ascii="Cambria" w:hAnsi="Cambria" w:cs="Calibri"/>
          <w:sz w:val="20"/>
          <w:szCs w:val="20"/>
          <w:lang w:val="es-CO"/>
        </w:rPr>
        <w:t xml:space="preserve">396/20 </w:t>
      </w:r>
      <w:r w:rsidRPr="00187D26">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667B9D" w:rsidRPr="00187D26">
        <w:rPr>
          <w:rFonts w:ascii="Cambria" w:hAnsi="Cambria" w:cs="Calibri"/>
          <w:sz w:val="20"/>
          <w:szCs w:val="20"/>
          <w:lang w:val="es-CO"/>
        </w:rPr>
        <w:t xml:space="preserve">396/20 </w:t>
      </w:r>
      <w:r w:rsidRPr="00187D26">
        <w:rPr>
          <w:rFonts w:ascii="Cambria" w:hAnsi="Cambria" w:cs="Calibri"/>
          <w:sz w:val="20"/>
          <w:szCs w:val="20"/>
          <w:lang w:val="es-CO"/>
        </w:rPr>
        <w:t xml:space="preserve">(Anexos). </w:t>
      </w:r>
    </w:p>
    <w:p w14:paraId="1CAF2B5A" w14:textId="77777777" w:rsidR="00772A69" w:rsidRPr="00187D26" w:rsidRDefault="00772A69" w:rsidP="00772A69">
      <w:pPr>
        <w:spacing w:after="0" w:line="240" w:lineRule="auto"/>
        <w:ind w:firstLine="720"/>
        <w:jc w:val="both"/>
        <w:rPr>
          <w:rFonts w:ascii="Cambria" w:hAnsi="Cambria" w:cs="Calibri"/>
          <w:sz w:val="20"/>
          <w:szCs w:val="20"/>
          <w:lang w:val="es-CO"/>
        </w:rPr>
      </w:pPr>
    </w:p>
    <w:p w14:paraId="071ED625" w14:textId="7A3B793A" w:rsidR="00772A69" w:rsidRPr="00187D26" w:rsidRDefault="00772A69" w:rsidP="00772A69">
      <w:pPr>
        <w:tabs>
          <w:tab w:val="left" w:pos="360"/>
          <w:tab w:val="left" w:pos="810"/>
        </w:tabs>
        <w:spacing w:after="0" w:line="240" w:lineRule="auto"/>
        <w:jc w:val="both"/>
        <w:rPr>
          <w:rFonts w:ascii="Cambria" w:hAnsi="Cambria" w:cs="Calibri"/>
          <w:sz w:val="20"/>
          <w:szCs w:val="20"/>
          <w:lang w:val="es-CO"/>
        </w:rPr>
      </w:pPr>
      <w:r w:rsidRPr="00187D26">
        <w:rPr>
          <w:rFonts w:ascii="Cambria" w:hAnsi="Cambria" w:cs="Calibri"/>
          <w:sz w:val="20"/>
          <w:szCs w:val="20"/>
          <w:lang w:val="es-CO"/>
        </w:rPr>
        <w:tab/>
        <w:t>Dicho Informe de Admisibilidad y Fondo fue notificado al Estado el</w:t>
      </w:r>
      <w:r w:rsidR="00667B9D" w:rsidRPr="00187D26">
        <w:rPr>
          <w:rFonts w:ascii="Cambria" w:hAnsi="Cambria" w:cs="Calibri"/>
          <w:sz w:val="20"/>
          <w:szCs w:val="20"/>
          <w:lang w:val="es-CO"/>
        </w:rPr>
        <w:t xml:space="preserve"> 6 de abril de 2021</w:t>
      </w:r>
      <w:r w:rsidRPr="00187D26">
        <w:rPr>
          <w:rFonts w:ascii="Cambria" w:hAnsi="Cambria" w:cs="Calibri"/>
          <w:sz w:val="20"/>
          <w:szCs w:val="20"/>
          <w:lang w:val="es-CO"/>
        </w:rPr>
        <w:t>, otorgándole un plazo de dos meses para informar sobre el cumplimiento de las recomendaciones. Tras el otorgamiento por parte de la CIDH de dieci</w:t>
      </w:r>
      <w:r w:rsidR="00E0361C" w:rsidRPr="00187D26">
        <w:rPr>
          <w:rFonts w:ascii="Cambria" w:hAnsi="Cambria" w:cs="Calibri"/>
          <w:sz w:val="20"/>
          <w:szCs w:val="20"/>
          <w:lang w:val="es-CO"/>
        </w:rPr>
        <w:t>siete</w:t>
      </w:r>
      <w:r w:rsidRPr="00187D26">
        <w:rPr>
          <w:rFonts w:ascii="Cambria" w:hAnsi="Cambria" w:cs="Calibri"/>
          <w:sz w:val="20"/>
          <w:szCs w:val="20"/>
          <w:lang w:val="es-CO"/>
        </w:rPr>
        <w:t xml:space="preserve"> prórrogas, si bien la Comisión tomó nota de las gestiones realizadas que motivaron el otorgamiento de las anteriores prórrogas, observó que, no </w:t>
      </w:r>
      <w:r w:rsidR="00A369E8" w:rsidRPr="00187D26">
        <w:rPr>
          <w:rFonts w:ascii="Cambria" w:hAnsi="Cambria" w:cs="Calibri"/>
          <w:sz w:val="20"/>
          <w:szCs w:val="20"/>
          <w:lang w:val="es-CO"/>
        </w:rPr>
        <w:t>obstante,</w:t>
      </w:r>
      <w:r w:rsidRPr="00187D26">
        <w:rPr>
          <w:rFonts w:ascii="Cambria" w:hAnsi="Cambria" w:cs="Calibri"/>
          <w:sz w:val="20"/>
          <w:szCs w:val="20"/>
          <w:lang w:val="es-CO"/>
        </w:rPr>
        <w:t xml:space="preserve"> el paso de cuatro años y </w:t>
      </w:r>
      <w:r w:rsidR="00B616EC" w:rsidRPr="00187D26">
        <w:rPr>
          <w:rFonts w:ascii="Cambria" w:hAnsi="Cambria" w:cs="Calibri"/>
          <w:sz w:val="20"/>
          <w:szCs w:val="20"/>
          <w:lang w:val="es-CO"/>
        </w:rPr>
        <w:t xml:space="preserve">dos </w:t>
      </w:r>
      <w:r w:rsidRPr="00187D26">
        <w:rPr>
          <w:rFonts w:ascii="Cambria" w:hAnsi="Cambria" w:cs="Calibri"/>
          <w:sz w:val="20"/>
          <w:szCs w:val="20"/>
          <w:lang w:val="es-CO"/>
        </w:rPr>
        <w:t xml:space="preserve">meses desde notificado el informe de fondo, las partes no han llegado a un acuerdo para avanzar con el cumplimiento y las víctimas no han obtenido una reparación por las violaciones establecidas en el informe. En consecuencia, ante la necesidad de obtención de justicia y reparación para las víctimas, la Comisión decidió someter el caso a la jurisdicción de la Corte Interamericana de Derechos Humanos. </w:t>
      </w:r>
    </w:p>
    <w:p w14:paraId="4509F0A1" w14:textId="77777777" w:rsidR="00772A69" w:rsidRPr="00187D26" w:rsidRDefault="00772A69" w:rsidP="00772A69">
      <w:pPr>
        <w:tabs>
          <w:tab w:val="left" w:pos="360"/>
          <w:tab w:val="left" w:pos="810"/>
        </w:tabs>
        <w:spacing w:after="0" w:line="240" w:lineRule="auto"/>
        <w:jc w:val="both"/>
        <w:rPr>
          <w:rFonts w:ascii="Cambria" w:hAnsi="Cambria" w:cs="Calibri"/>
          <w:sz w:val="20"/>
          <w:szCs w:val="20"/>
          <w:lang w:val="es-CO"/>
        </w:rPr>
      </w:pPr>
    </w:p>
    <w:p w14:paraId="59C462EF" w14:textId="5EFBCC1E" w:rsidR="00772A69" w:rsidRPr="00187D26" w:rsidRDefault="00772A69" w:rsidP="00747107">
      <w:pPr>
        <w:pBdr>
          <w:top w:val="nil"/>
          <w:left w:val="nil"/>
          <w:bottom w:val="nil"/>
          <w:right w:val="nil"/>
          <w:between w:val="nil"/>
        </w:pBdr>
        <w:tabs>
          <w:tab w:val="left" w:pos="360"/>
        </w:tabs>
        <w:spacing w:after="0" w:line="240" w:lineRule="auto"/>
        <w:ind w:hanging="2"/>
        <w:jc w:val="both"/>
        <w:rPr>
          <w:rFonts w:ascii="Cambria" w:eastAsia="Cambria" w:hAnsi="Cambria" w:cs="Cambria"/>
          <w:sz w:val="20"/>
          <w:szCs w:val="20"/>
          <w:highlight w:val="yellow"/>
          <w:lang w:val="es-CO"/>
        </w:rPr>
      </w:pPr>
      <w:r w:rsidRPr="00187D26">
        <w:rPr>
          <w:rFonts w:ascii="Cambria" w:hAnsi="Cambria" w:cs="Calibri"/>
          <w:sz w:val="20"/>
          <w:szCs w:val="20"/>
          <w:lang w:val="es-CO"/>
        </w:rPr>
        <w:tab/>
      </w:r>
      <w:r w:rsidRPr="00187D26">
        <w:rPr>
          <w:rFonts w:ascii="Cambria" w:hAnsi="Cambria" w:cs="Calibri"/>
          <w:sz w:val="20"/>
          <w:szCs w:val="20"/>
          <w:lang w:val="es-CO"/>
        </w:rPr>
        <w:tab/>
        <w:t xml:space="preserve">En ese sentido, la Comisión solicita a la Honorable Corte que concluya y declare </w:t>
      </w:r>
      <w:r w:rsidRPr="00187D26">
        <w:rPr>
          <w:rFonts w:ascii="Cambria" w:hAnsi="Cambria"/>
          <w:sz w:val="20"/>
          <w:szCs w:val="20"/>
          <w:lang w:val="es-CO"/>
        </w:rPr>
        <w:t xml:space="preserve">que </w:t>
      </w:r>
      <w:r w:rsidRPr="00187D26">
        <w:rPr>
          <w:rFonts w:ascii="Cambria" w:eastAsia="Cambria" w:hAnsi="Cambria" w:cs="Cambria"/>
          <w:sz w:val="20"/>
          <w:szCs w:val="20"/>
          <w:lang w:val="es-CO"/>
        </w:rPr>
        <w:t xml:space="preserve">el Estado es responsable </w:t>
      </w:r>
      <w:r w:rsidR="00E23970" w:rsidRPr="00187D26">
        <w:rPr>
          <w:rFonts w:ascii="Cambria" w:eastAsia="Cambria" w:hAnsi="Cambria" w:cs="Cambria"/>
          <w:sz w:val="20"/>
          <w:szCs w:val="20"/>
          <w:lang w:val="es-CO"/>
        </w:rPr>
        <w:t xml:space="preserve">la violación de los derechos establecidos en los artículos 8.1 (garantías judiciales), 25.1 ((protección judicial) y 26 (derecho al trabajo) de la Convención Americana sobre Derechos Humanos, en relación con las obligaciones establecidas en el artículo 1.1 del mismo </w:t>
      </w:r>
      <w:r w:rsidR="00121C8D" w:rsidRPr="00187D26">
        <w:rPr>
          <w:rFonts w:ascii="Cambria" w:eastAsia="Cambria" w:hAnsi="Cambria" w:cs="Cambria"/>
          <w:sz w:val="20"/>
          <w:szCs w:val="20"/>
          <w:lang w:val="es-CO"/>
        </w:rPr>
        <w:t xml:space="preserve">instrumento, en </w:t>
      </w:r>
      <w:r w:rsidRPr="00187D26">
        <w:rPr>
          <w:rFonts w:ascii="Cambria" w:eastAsia="Cambria" w:hAnsi="Cambria" w:cs="Cambria"/>
          <w:sz w:val="20"/>
          <w:szCs w:val="20"/>
          <w:lang w:val="es-CO"/>
        </w:rPr>
        <w:t xml:space="preserve">perjuicio de las víctimas del presente caso. </w:t>
      </w:r>
      <w:r w:rsidRPr="00187D26">
        <w:rPr>
          <w:rFonts w:ascii="Cambria" w:hAnsi="Cambria"/>
          <w:sz w:val="20"/>
          <w:szCs w:val="20"/>
          <w:lang w:val="es-CO"/>
        </w:rPr>
        <w:t xml:space="preserve"> </w:t>
      </w:r>
    </w:p>
    <w:p w14:paraId="09B4E811" w14:textId="77777777" w:rsidR="00DD0067" w:rsidRPr="00187D26" w:rsidRDefault="00DD0067" w:rsidP="00772A69">
      <w:pPr>
        <w:pStyle w:val="ListParagraph"/>
        <w:tabs>
          <w:tab w:val="left" w:pos="360"/>
        </w:tabs>
        <w:spacing w:after="0" w:line="240" w:lineRule="auto"/>
        <w:ind w:left="0"/>
        <w:contextualSpacing w:val="0"/>
        <w:jc w:val="both"/>
        <w:rPr>
          <w:rFonts w:ascii="Cambria" w:hAnsi="Cambria"/>
          <w:sz w:val="20"/>
          <w:szCs w:val="20"/>
          <w:lang w:val="es-CO"/>
        </w:rPr>
      </w:pPr>
    </w:p>
    <w:p w14:paraId="4C88A746" w14:textId="573D73AB" w:rsidR="000D0D43" w:rsidRPr="00187D26" w:rsidRDefault="00747107" w:rsidP="00A868BC">
      <w:pPr>
        <w:pStyle w:val="ListParagraph"/>
        <w:tabs>
          <w:tab w:val="left" w:pos="360"/>
        </w:tabs>
        <w:spacing w:after="0" w:line="240" w:lineRule="auto"/>
        <w:ind w:left="0"/>
        <w:contextualSpacing w:val="0"/>
        <w:jc w:val="both"/>
        <w:rPr>
          <w:rFonts w:ascii="Cambria" w:hAnsi="Cambria"/>
          <w:sz w:val="20"/>
          <w:szCs w:val="20"/>
          <w:lang w:val="es-CO"/>
        </w:rPr>
      </w:pPr>
      <w:r w:rsidRPr="00187D26">
        <w:rPr>
          <w:rFonts w:ascii="Cambria" w:hAnsi="Cambria"/>
          <w:sz w:val="20"/>
          <w:szCs w:val="20"/>
          <w:lang w:val="es-CO"/>
        </w:rPr>
        <w:tab/>
      </w:r>
      <w:r w:rsidR="00DD0067" w:rsidRPr="00187D26">
        <w:rPr>
          <w:rFonts w:ascii="Cambria" w:hAnsi="Cambria"/>
          <w:sz w:val="20"/>
          <w:szCs w:val="20"/>
          <w:lang w:val="es-CO"/>
        </w:rPr>
        <w:t xml:space="preserve">Respecto de las víctimas del presente caso, la Comisión </w:t>
      </w:r>
      <w:r w:rsidR="00860790" w:rsidRPr="00187D26">
        <w:rPr>
          <w:rFonts w:ascii="Cambria" w:hAnsi="Cambria"/>
          <w:sz w:val="20"/>
          <w:szCs w:val="20"/>
          <w:lang w:val="es-CO"/>
        </w:rPr>
        <w:t>hacer notar</w:t>
      </w:r>
      <w:r w:rsidR="00DD0067" w:rsidRPr="00187D26">
        <w:rPr>
          <w:rFonts w:ascii="Cambria" w:hAnsi="Cambria"/>
          <w:sz w:val="20"/>
          <w:szCs w:val="20"/>
          <w:lang w:val="es-CO"/>
        </w:rPr>
        <w:t xml:space="preserve"> que, </w:t>
      </w:r>
      <w:r w:rsidR="0060365B" w:rsidRPr="00187D26">
        <w:rPr>
          <w:rFonts w:ascii="Cambria" w:hAnsi="Cambria"/>
          <w:sz w:val="20"/>
          <w:szCs w:val="20"/>
          <w:lang w:val="es-CO"/>
        </w:rPr>
        <w:t>el 3 de febrero de 2009 decidió desglosar la petición 11.602 tomando en cuenta que no contaba con suficiente información respecto de todos los trabajadores incluidos en la petición original. Para ello, creó la petición 11.602A que se refirió a 85 trabajadores identificados durante el trámite ante la CIDH</w:t>
      </w:r>
      <w:r w:rsidR="00065961" w:rsidRPr="00187D26">
        <w:rPr>
          <w:rFonts w:ascii="Cambria" w:hAnsi="Cambria"/>
          <w:sz w:val="20"/>
          <w:szCs w:val="20"/>
          <w:lang w:val="es-CO"/>
        </w:rPr>
        <w:t xml:space="preserve"> </w:t>
      </w:r>
      <w:r w:rsidR="0067733C" w:rsidRPr="00187D26">
        <w:rPr>
          <w:rFonts w:ascii="Cambria" w:hAnsi="Cambria"/>
          <w:sz w:val="20"/>
          <w:szCs w:val="20"/>
          <w:lang w:val="es-CO"/>
        </w:rPr>
        <w:t>y</w:t>
      </w:r>
      <w:r w:rsidR="0060365B" w:rsidRPr="00187D26">
        <w:rPr>
          <w:rFonts w:ascii="Cambria" w:hAnsi="Cambria"/>
          <w:sz w:val="20"/>
          <w:szCs w:val="20"/>
          <w:lang w:val="es-CO"/>
        </w:rPr>
        <w:t xml:space="preserve"> la petición 11.602B, a la que se refiere el presente caso</w:t>
      </w:r>
      <w:r w:rsidR="0067733C" w:rsidRPr="00187D26">
        <w:rPr>
          <w:rFonts w:ascii="Cambria" w:hAnsi="Cambria"/>
          <w:sz w:val="20"/>
          <w:szCs w:val="20"/>
          <w:lang w:val="es-CO"/>
        </w:rPr>
        <w:t xml:space="preserve">. En dicho </w:t>
      </w:r>
      <w:r w:rsidR="0060365B" w:rsidRPr="00187D26">
        <w:rPr>
          <w:rFonts w:ascii="Cambria" w:hAnsi="Cambria"/>
          <w:sz w:val="20"/>
          <w:szCs w:val="20"/>
          <w:lang w:val="es-CO"/>
        </w:rPr>
        <w:t xml:space="preserve">marco </w:t>
      </w:r>
      <w:r w:rsidR="0067733C" w:rsidRPr="00187D26">
        <w:rPr>
          <w:rFonts w:ascii="Cambria" w:hAnsi="Cambria"/>
          <w:sz w:val="20"/>
          <w:szCs w:val="20"/>
          <w:lang w:val="es-CO"/>
        </w:rPr>
        <w:t xml:space="preserve">le </w:t>
      </w:r>
      <w:r w:rsidR="0060365B" w:rsidRPr="00187D26">
        <w:rPr>
          <w:rFonts w:ascii="Cambria" w:hAnsi="Cambria"/>
          <w:sz w:val="20"/>
          <w:szCs w:val="20"/>
          <w:lang w:val="es-CO"/>
        </w:rPr>
        <w:t>solicitó información</w:t>
      </w:r>
      <w:r w:rsidR="0082677F" w:rsidRPr="00187D26">
        <w:rPr>
          <w:rFonts w:ascii="Cambria" w:hAnsi="Cambria"/>
          <w:sz w:val="20"/>
          <w:szCs w:val="20"/>
          <w:lang w:val="es-CO"/>
        </w:rPr>
        <w:t xml:space="preserve"> a la parte peticionaria</w:t>
      </w:r>
      <w:r w:rsidR="0060365B" w:rsidRPr="00187D26">
        <w:rPr>
          <w:rFonts w:ascii="Cambria" w:hAnsi="Cambria"/>
          <w:sz w:val="20"/>
          <w:szCs w:val="20"/>
          <w:lang w:val="es-CO"/>
        </w:rPr>
        <w:t xml:space="preserve"> </w:t>
      </w:r>
      <w:r w:rsidR="0082677F" w:rsidRPr="00187D26">
        <w:rPr>
          <w:rFonts w:ascii="Cambria" w:hAnsi="Cambria"/>
          <w:sz w:val="20"/>
          <w:szCs w:val="20"/>
          <w:lang w:val="es-CO"/>
        </w:rPr>
        <w:t>sobre la</w:t>
      </w:r>
      <w:r w:rsidR="0060365B" w:rsidRPr="00187D26">
        <w:rPr>
          <w:rFonts w:ascii="Cambria" w:hAnsi="Cambria"/>
          <w:sz w:val="20"/>
          <w:szCs w:val="20"/>
          <w:lang w:val="es-CO"/>
        </w:rPr>
        <w:t xml:space="preserve"> identificación del resto de </w:t>
      </w:r>
      <w:r w:rsidR="0067733C" w:rsidRPr="00187D26">
        <w:rPr>
          <w:rFonts w:ascii="Cambria" w:hAnsi="Cambria"/>
          <w:sz w:val="20"/>
          <w:szCs w:val="20"/>
          <w:lang w:val="es-CO"/>
        </w:rPr>
        <w:t xml:space="preserve">las personas </w:t>
      </w:r>
      <w:r w:rsidR="0060365B" w:rsidRPr="00187D26">
        <w:rPr>
          <w:rFonts w:ascii="Cambria" w:hAnsi="Cambria"/>
          <w:sz w:val="20"/>
          <w:szCs w:val="20"/>
          <w:lang w:val="es-CO"/>
        </w:rPr>
        <w:t>no incluidas en el caso 11.602A y los recursos que promovieron en relación con las violaciones alegadas</w:t>
      </w:r>
      <w:r w:rsidR="0067733C" w:rsidRPr="00187D26">
        <w:rPr>
          <w:rFonts w:ascii="Cambria" w:hAnsi="Cambria"/>
          <w:sz w:val="20"/>
          <w:szCs w:val="20"/>
          <w:lang w:val="es-CO"/>
        </w:rPr>
        <w:t xml:space="preserve">, ante lo cual </w:t>
      </w:r>
      <w:r w:rsidR="0060365B" w:rsidRPr="00187D26">
        <w:rPr>
          <w:rFonts w:ascii="Cambria" w:hAnsi="Cambria"/>
          <w:sz w:val="20"/>
          <w:szCs w:val="20"/>
          <w:lang w:val="es-CO"/>
        </w:rPr>
        <w:t>l</w:t>
      </w:r>
      <w:r w:rsidR="00705C36" w:rsidRPr="00187D26">
        <w:rPr>
          <w:rFonts w:ascii="Cambria" w:hAnsi="Cambria"/>
          <w:sz w:val="20"/>
          <w:szCs w:val="20"/>
          <w:lang w:val="es-CO"/>
        </w:rPr>
        <w:t>os peticionarios remitieron</w:t>
      </w:r>
      <w:r w:rsidR="000152C1" w:rsidRPr="00187D26">
        <w:rPr>
          <w:rFonts w:ascii="Cambria" w:hAnsi="Cambria"/>
          <w:sz w:val="20"/>
          <w:szCs w:val="20"/>
          <w:lang w:val="es-CO"/>
        </w:rPr>
        <w:t xml:space="preserve"> diversos listados</w:t>
      </w:r>
      <w:r w:rsidR="00A868BC" w:rsidRPr="00187D26">
        <w:rPr>
          <w:rFonts w:ascii="Cambria" w:hAnsi="Cambria"/>
          <w:sz w:val="20"/>
          <w:szCs w:val="20"/>
          <w:lang w:val="es-CO"/>
        </w:rPr>
        <w:t xml:space="preserve"> de víctimas. En este sentido, con base a la información aportada, la CIDH elaboró una relación no exhaustiva </w:t>
      </w:r>
      <w:r w:rsidR="000D0D43" w:rsidRPr="00187D26">
        <w:rPr>
          <w:rFonts w:ascii="Cambria" w:hAnsi="Cambria"/>
          <w:sz w:val="20"/>
          <w:szCs w:val="20"/>
          <w:lang w:val="es-CO"/>
        </w:rPr>
        <w:t>de 782 víctimas</w:t>
      </w:r>
      <w:r w:rsidR="00A868BC" w:rsidRPr="00187D26">
        <w:rPr>
          <w:rFonts w:ascii="Cambria" w:hAnsi="Cambria"/>
          <w:sz w:val="20"/>
          <w:szCs w:val="20"/>
          <w:lang w:val="es-CO"/>
        </w:rPr>
        <w:t xml:space="preserve">, </w:t>
      </w:r>
      <w:r w:rsidR="00DD1D69" w:rsidRPr="00187D26">
        <w:rPr>
          <w:rFonts w:ascii="Cambria" w:hAnsi="Cambria"/>
          <w:sz w:val="20"/>
          <w:szCs w:val="20"/>
          <w:lang w:val="es-CO"/>
        </w:rPr>
        <w:t>la</w:t>
      </w:r>
      <w:r w:rsidR="002A1071" w:rsidRPr="00187D26">
        <w:rPr>
          <w:rFonts w:ascii="Cambria" w:hAnsi="Cambria"/>
          <w:sz w:val="20"/>
          <w:szCs w:val="20"/>
          <w:lang w:val="es-CO"/>
        </w:rPr>
        <w:t xml:space="preserve"> cual fue incluid</w:t>
      </w:r>
      <w:r w:rsidR="00DD1D69" w:rsidRPr="00187D26">
        <w:rPr>
          <w:rFonts w:ascii="Cambria" w:hAnsi="Cambria"/>
          <w:sz w:val="20"/>
          <w:szCs w:val="20"/>
          <w:lang w:val="es-CO"/>
        </w:rPr>
        <w:t>a</w:t>
      </w:r>
      <w:r w:rsidR="002A1071" w:rsidRPr="00187D26">
        <w:rPr>
          <w:rFonts w:ascii="Cambria" w:hAnsi="Cambria"/>
          <w:sz w:val="20"/>
          <w:szCs w:val="20"/>
          <w:lang w:val="es-CO"/>
        </w:rPr>
        <w:t xml:space="preserve"> como anexo único al Informe de Fondo y </w:t>
      </w:r>
      <w:r w:rsidR="00A868BC" w:rsidRPr="00187D26">
        <w:rPr>
          <w:rFonts w:ascii="Cambria" w:hAnsi="Cambria"/>
          <w:sz w:val="20"/>
          <w:szCs w:val="20"/>
          <w:lang w:val="es-CO"/>
        </w:rPr>
        <w:t xml:space="preserve">puede ofrecer elementos que faciliten su determinación por parte de este Tribunal. </w:t>
      </w:r>
    </w:p>
    <w:p w14:paraId="7C3E0DA5" w14:textId="77777777" w:rsidR="002A1071" w:rsidRPr="00187D26" w:rsidRDefault="002A1071" w:rsidP="00A868BC">
      <w:pPr>
        <w:pStyle w:val="ListParagraph"/>
        <w:tabs>
          <w:tab w:val="left" w:pos="360"/>
        </w:tabs>
        <w:spacing w:after="0" w:line="240" w:lineRule="auto"/>
        <w:ind w:left="0"/>
        <w:contextualSpacing w:val="0"/>
        <w:jc w:val="both"/>
        <w:rPr>
          <w:rFonts w:ascii="Cambria" w:hAnsi="Cambria"/>
          <w:sz w:val="20"/>
          <w:szCs w:val="20"/>
          <w:lang w:val="es-CO"/>
        </w:rPr>
      </w:pPr>
    </w:p>
    <w:p w14:paraId="7DB527E6" w14:textId="4E58BF12" w:rsidR="00523CB2" w:rsidRPr="00187D26" w:rsidRDefault="002A1071" w:rsidP="00D07A0F">
      <w:pPr>
        <w:pStyle w:val="ListParagraph"/>
        <w:spacing w:after="0" w:line="240" w:lineRule="auto"/>
        <w:ind w:left="0" w:firstLine="360"/>
        <w:contextualSpacing w:val="0"/>
        <w:jc w:val="both"/>
        <w:rPr>
          <w:rFonts w:ascii="Cambria" w:hAnsi="Cambria"/>
          <w:sz w:val="20"/>
          <w:szCs w:val="20"/>
          <w:lang w:val="es-CO"/>
        </w:rPr>
      </w:pPr>
      <w:r w:rsidRPr="00187D26">
        <w:rPr>
          <w:rFonts w:ascii="Cambria" w:hAnsi="Cambria"/>
          <w:sz w:val="20"/>
          <w:szCs w:val="20"/>
          <w:lang w:val="es-CO"/>
        </w:rPr>
        <w:t>La Comisión destaca que,</w:t>
      </w:r>
      <w:r w:rsidR="00440C81" w:rsidRPr="00187D26">
        <w:rPr>
          <w:rFonts w:ascii="Cambria" w:hAnsi="Cambria"/>
          <w:sz w:val="20"/>
          <w:szCs w:val="20"/>
          <w:lang w:val="es-CO"/>
        </w:rPr>
        <w:t xml:space="preserve"> a pesar de los esfuerzos realizados por </w:t>
      </w:r>
      <w:r w:rsidR="000957D0" w:rsidRPr="00187D26">
        <w:rPr>
          <w:rFonts w:ascii="Cambria" w:hAnsi="Cambria"/>
          <w:sz w:val="20"/>
          <w:szCs w:val="20"/>
          <w:lang w:val="es-CO"/>
        </w:rPr>
        <w:t>é</w:t>
      </w:r>
      <w:r w:rsidR="00440C81" w:rsidRPr="00187D26">
        <w:rPr>
          <w:rFonts w:ascii="Cambria" w:hAnsi="Cambria"/>
          <w:sz w:val="20"/>
          <w:szCs w:val="20"/>
          <w:lang w:val="es-CO"/>
        </w:rPr>
        <w:t xml:space="preserve">sta </w:t>
      </w:r>
      <w:r w:rsidR="0079516B" w:rsidRPr="00187D26">
        <w:rPr>
          <w:rFonts w:ascii="Cambria" w:hAnsi="Cambria"/>
          <w:sz w:val="20"/>
          <w:szCs w:val="20"/>
          <w:lang w:val="es-CO"/>
        </w:rPr>
        <w:t>desde la notificación del Informe</w:t>
      </w:r>
      <w:r w:rsidR="000957D0" w:rsidRPr="00187D26">
        <w:rPr>
          <w:rFonts w:ascii="Cambria" w:hAnsi="Cambria"/>
          <w:sz w:val="20"/>
          <w:szCs w:val="20"/>
          <w:lang w:val="es-CO"/>
        </w:rPr>
        <w:t xml:space="preserve"> y no obstante las prórrogas otorgadas</w:t>
      </w:r>
      <w:r w:rsidR="0079516B" w:rsidRPr="00187D26">
        <w:rPr>
          <w:rFonts w:ascii="Cambria" w:hAnsi="Cambria"/>
          <w:sz w:val="20"/>
          <w:szCs w:val="20"/>
          <w:lang w:val="es-CO"/>
        </w:rPr>
        <w:t>, han sido manifiestas las dificultades para poder tener una identificación plena de la totalidad de las víctimas del caso</w:t>
      </w:r>
      <w:r w:rsidR="00E37C84" w:rsidRPr="00187D26">
        <w:rPr>
          <w:rFonts w:ascii="Cambria" w:hAnsi="Cambria"/>
          <w:sz w:val="20"/>
          <w:szCs w:val="20"/>
          <w:lang w:val="es-CO"/>
        </w:rPr>
        <w:t xml:space="preserve"> debido al carácter masivo y colectivo del mismo</w:t>
      </w:r>
      <w:r w:rsidR="00922477" w:rsidRPr="00187D26">
        <w:rPr>
          <w:rFonts w:ascii="Cambria" w:hAnsi="Cambria"/>
          <w:sz w:val="20"/>
          <w:szCs w:val="20"/>
          <w:lang w:val="es-CO"/>
        </w:rPr>
        <w:t xml:space="preserve">. </w:t>
      </w:r>
      <w:r w:rsidR="00BE69D6" w:rsidRPr="00187D26">
        <w:rPr>
          <w:rFonts w:ascii="Cambria" w:hAnsi="Cambria"/>
          <w:sz w:val="20"/>
          <w:szCs w:val="20"/>
          <w:lang w:val="es-CO"/>
        </w:rPr>
        <w:t xml:space="preserve">Asimismo, a pesar de que no </w:t>
      </w:r>
      <w:r w:rsidR="00523CB2" w:rsidRPr="00187D26">
        <w:rPr>
          <w:rFonts w:ascii="Cambria" w:hAnsi="Cambria"/>
          <w:sz w:val="20"/>
          <w:szCs w:val="20"/>
          <w:lang w:val="es-CO"/>
        </w:rPr>
        <w:t>está</w:t>
      </w:r>
      <w:r w:rsidR="00BE69D6" w:rsidRPr="00187D26">
        <w:rPr>
          <w:rFonts w:ascii="Cambria" w:hAnsi="Cambria"/>
          <w:sz w:val="20"/>
          <w:szCs w:val="20"/>
          <w:lang w:val="es-CO"/>
        </w:rPr>
        <w:t xml:space="preserve"> en </w:t>
      </w:r>
      <w:r w:rsidR="00523CB2" w:rsidRPr="00187D26">
        <w:rPr>
          <w:rFonts w:ascii="Cambria" w:hAnsi="Cambria"/>
          <w:sz w:val="20"/>
          <w:szCs w:val="20"/>
          <w:lang w:val="es-CO"/>
        </w:rPr>
        <w:t>controversia</w:t>
      </w:r>
      <w:r w:rsidR="00BE69D6" w:rsidRPr="00187D26">
        <w:rPr>
          <w:rFonts w:ascii="Cambria" w:hAnsi="Cambria"/>
          <w:sz w:val="20"/>
          <w:szCs w:val="20"/>
          <w:lang w:val="es-CO"/>
        </w:rPr>
        <w:t xml:space="preserve"> la plena identificación de varias de ellas</w:t>
      </w:r>
      <w:r w:rsidR="00D82F2B" w:rsidRPr="00187D26">
        <w:rPr>
          <w:rFonts w:ascii="Cambria" w:hAnsi="Cambria"/>
          <w:sz w:val="20"/>
          <w:szCs w:val="20"/>
          <w:lang w:val="es-CO"/>
        </w:rPr>
        <w:t xml:space="preserve">, </w:t>
      </w:r>
      <w:r w:rsidR="00BE69D6" w:rsidRPr="00187D26">
        <w:rPr>
          <w:rFonts w:ascii="Cambria" w:hAnsi="Cambria"/>
          <w:sz w:val="20"/>
          <w:szCs w:val="20"/>
          <w:lang w:val="es-CO"/>
        </w:rPr>
        <w:t xml:space="preserve">tampoco </w:t>
      </w:r>
      <w:r w:rsidR="00523CB2" w:rsidRPr="00187D26">
        <w:rPr>
          <w:rFonts w:ascii="Cambria" w:hAnsi="Cambria"/>
          <w:sz w:val="20"/>
          <w:szCs w:val="20"/>
          <w:lang w:val="es-CO"/>
        </w:rPr>
        <w:t xml:space="preserve">existieron avances sustantivos dirigidos a reparar sus derechos. </w:t>
      </w:r>
    </w:p>
    <w:p w14:paraId="11C53678" w14:textId="77777777" w:rsidR="00523CB2" w:rsidRPr="00187D26" w:rsidRDefault="00523CB2" w:rsidP="00D07A0F">
      <w:pPr>
        <w:pStyle w:val="ListParagraph"/>
        <w:spacing w:after="0" w:line="240" w:lineRule="auto"/>
        <w:ind w:left="0" w:firstLine="360"/>
        <w:contextualSpacing w:val="0"/>
        <w:jc w:val="both"/>
        <w:rPr>
          <w:rFonts w:ascii="Cambria" w:hAnsi="Cambria"/>
          <w:sz w:val="20"/>
          <w:szCs w:val="20"/>
          <w:lang w:val="es-CO"/>
        </w:rPr>
      </w:pPr>
    </w:p>
    <w:p w14:paraId="0BBB400E" w14:textId="0FBCBCA5" w:rsidR="008E6254" w:rsidRPr="00187D26" w:rsidRDefault="00523CB2" w:rsidP="00523CB2">
      <w:pPr>
        <w:pStyle w:val="ListParagraph"/>
        <w:spacing w:after="0" w:line="240" w:lineRule="auto"/>
        <w:ind w:left="0" w:firstLine="360"/>
        <w:contextualSpacing w:val="0"/>
        <w:jc w:val="both"/>
        <w:rPr>
          <w:rFonts w:ascii="Cambria" w:hAnsi="Cambria"/>
          <w:sz w:val="20"/>
          <w:szCs w:val="20"/>
          <w:lang w:val="es-CO"/>
        </w:rPr>
      </w:pPr>
      <w:r w:rsidRPr="00187D26">
        <w:rPr>
          <w:rFonts w:ascii="Cambria" w:hAnsi="Cambria"/>
          <w:sz w:val="20"/>
          <w:szCs w:val="20"/>
          <w:lang w:val="es-CO"/>
        </w:rPr>
        <w:t xml:space="preserve">La Comisión hace notar que </w:t>
      </w:r>
      <w:r w:rsidR="00FB29B4" w:rsidRPr="00187D26">
        <w:rPr>
          <w:rFonts w:ascii="Cambria" w:hAnsi="Cambria"/>
          <w:sz w:val="20"/>
          <w:szCs w:val="20"/>
          <w:lang w:val="es-CO"/>
        </w:rPr>
        <w:t>las víctimas son exfuncionarios de Petróleos del Perú cesados a partir de 1992 y, por tanto, se trata de un grupo que resulta determinado y</w:t>
      </w:r>
      <w:r w:rsidR="00D82F2B" w:rsidRPr="00187D26">
        <w:rPr>
          <w:rFonts w:ascii="Cambria" w:hAnsi="Cambria"/>
          <w:sz w:val="20"/>
          <w:szCs w:val="20"/>
          <w:lang w:val="es-CO"/>
        </w:rPr>
        <w:t xml:space="preserve"> </w:t>
      </w:r>
      <w:r w:rsidR="00FB29B4" w:rsidRPr="00187D26">
        <w:rPr>
          <w:rFonts w:ascii="Cambria" w:hAnsi="Cambria"/>
          <w:sz w:val="20"/>
          <w:szCs w:val="20"/>
          <w:lang w:val="es-CO"/>
        </w:rPr>
        <w:t>susceptible de identificación, particularmente a través de información que obraría en poder del Estado</w:t>
      </w:r>
      <w:r w:rsidR="002A1071" w:rsidRPr="00187D26">
        <w:rPr>
          <w:rFonts w:ascii="Cambria" w:hAnsi="Cambria"/>
          <w:sz w:val="20"/>
          <w:szCs w:val="20"/>
          <w:lang w:val="es-CO"/>
        </w:rPr>
        <w:t>.</w:t>
      </w:r>
      <w:r w:rsidR="00D07A0F" w:rsidRPr="00187D26">
        <w:rPr>
          <w:rFonts w:ascii="Cambria" w:hAnsi="Cambria"/>
          <w:sz w:val="20"/>
          <w:szCs w:val="20"/>
          <w:lang w:val="es-CO"/>
        </w:rPr>
        <w:t xml:space="preserve"> En efecto, desde la notificación del Informe, el Estado ha realizado esfuerzos por consolidar el listado de víctimas.</w:t>
      </w:r>
      <w:r w:rsidRPr="00187D26">
        <w:rPr>
          <w:rFonts w:ascii="Cambria" w:hAnsi="Cambria"/>
          <w:sz w:val="20"/>
          <w:szCs w:val="20"/>
          <w:lang w:val="es-CO"/>
        </w:rPr>
        <w:t xml:space="preserve"> </w:t>
      </w:r>
      <w:r w:rsidR="0019034E" w:rsidRPr="00187D26">
        <w:rPr>
          <w:rFonts w:ascii="Cambria" w:hAnsi="Cambria"/>
          <w:sz w:val="20"/>
          <w:szCs w:val="20"/>
          <w:lang w:val="es-CO"/>
        </w:rPr>
        <w:t>En tales circunstancias la CIDH considera que el presente caso refleja la pertinencia de aplicar</w:t>
      </w:r>
      <w:r w:rsidR="000C39F4" w:rsidRPr="00187D26">
        <w:rPr>
          <w:rFonts w:ascii="Cambria" w:hAnsi="Cambria"/>
          <w:sz w:val="20"/>
          <w:szCs w:val="20"/>
          <w:lang w:val="es-CO"/>
        </w:rPr>
        <w:t xml:space="preserve"> </w:t>
      </w:r>
      <w:r w:rsidR="0019034E" w:rsidRPr="00187D26">
        <w:rPr>
          <w:rFonts w:ascii="Cambria" w:hAnsi="Cambria"/>
          <w:sz w:val="20"/>
          <w:szCs w:val="20"/>
          <w:lang w:val="es-CO"/>
        </w:rPr>
        <w:t>la disposición contenida en artículo 35.2 del Reglamento de la Honorable Corte, tomando en cuenta las particularidades antes mencionadas que han derivado en la imposibilidad de cerrar de manera definitiva el listado de víctimas, hasta que se cuente con la totalidad de información</w:t>
      </w:r>
      <w:r w:rsidRPr="00187D26">
        <w:rPr>
          <w:rFonts w:ascii="Cambria" w:hAnsi="Cambria"/>
          <w:sz w:val="20"/>
          <w:szCs w:val="20"/>
          <w:lang w:val="es-CO"/>
        </w:rPr>
        <w:t>.</w:t>
      </w:r>
    </w:p>
    <w:p w14:paraId="5E145F09" w14:textId="77777777" w:rsidR="00772A69" w:rsidRPr="00187D26" w:rsidRDefault="00772A69" w:rsidP="00772A69">
      <w:pPr>
        <w:pStyle w:val="ListParagraph"/>
        <w:spacing w:after="0" w:line="240" w:lineRule="auto"/>
        <w:ind w:left="0"/>
        <w:contextualSpacing w:val="0"/>
        <w:jc w:val="both"/>
        <w:rPr>
          <w:rFonts w:ascii="Cambria" w:eastAsia="Times New Roman" w:hAnsi="Cambria"/>
          <w:sz w:val="20"/>
          <w:szCs w:val="20"/>
          <w:lang w:val="es-CO"/>
        </w:rPr>
      </w:pPr>
    </w:p>
    <w:p w14:paraId="4E8ED1E8" w14:textId="220A3BD1" w:rsidR="00772A69" w:rsidRPr="00187D26" w:rsidRDefault="00772A69" w:rsidP="00772A69">
      <w:pPr>
        <w:pStyle w:val="ListParagraph"/>
        <w:tabs>
          <w:tab w:val="left" w:pos="360"/>
          <w:tab w:val="left" w:pos="720"/>
          <w:tab w:val="left" w:pos="1440"/>
        </w:tabs>
        <w:spacing w:after="0" w:line="240" w:lineRule="auto"/>
        <w:ind w:left="0"/>
        <w:contextualSpacing w:val="0"/>
        <w:jc w:val="both"/>
        <w:rPr>
          <w:rFonts w:ascii="Cambria" w:hAnsi="Cambria" w:cs="Calibri"/>
          <w:sz w:val="20"/>
          <w:szCs w:val="20"/>
          <w:lang w:val="es-CO"/>
        </w:rPr>
      </w:pPr>
      <w:r w:rsidRPr="00187D26">
        <w:rPr>
          <w:rFonts w:ascii="Cambria" w:hAnsi="Cambria" w:cs="Calibri"/>
          <w:sz w:val="20"/>
          <w:szCs w:val="20"/>
          <w:lang w:val="es-CO"/>
        </w:rPr>
        <w:tab/>
      </w:r>
      <w:r w:rsidR="0019034E" w:rsidRPr="00187D26">
        <w:rPr>
          <w:rFonts w:ascii="Cambria" w:hAnsi="Cambria" w:cs="Calibri"/>
          <w:sz w:val="20"/>
          <w:szCs w:val="20"/>
          <w:lang w:val="es-CO"/>
        </w:rPr>
        <w:t>L</w:t>
      </w:r>
      <w:r w:rsidRPr="00187D26">
        <w:rPr>
          <w:rFonts w:ascii="Cambria" w:hAnsi="Cambria" w:cs="Calibri"/>
          <w:sz w:val="20"/>
          <w:szCs w:val="20"/>
          <w:lang w:val="es-CO"/>
        </w:rPr>
        <w:t>a Comisión solicita a la Corte Interamericana de Derechos Humanos que establezca las siguientes medidas de reparación:</w:t>
      </w:r>
    </w:p>
    <w:p w14:paraId="581791DD" w14:textId="77777777" w:rsidR="00772A69" w:rsidRPr="00187D26" w:rsidRDefault="00772A69" w:rsidP="00772A69">
      <w:pPr>
        <w:pStyle w:val="ListParagraph"/>
        <w:tabs>
          <w:tab w:val="left" w:pos="1170"/>
        </w:tabs>
        <w:spacing w:after="0" w:line="240" w:lineRule="auto"/>
        <w:ind w:left="0" w:right="720"/>
        <w:contextualSpacing w:val="0"/>
        <w:jc w:val="both"/>
        <w:rPr>
          <w:rFonts w:ascii="Cambria" w:hAnsi="Cambria"/>
          <w:sz w:val="20"/>
          <w:szCs w:val="20"/>
          <w:lang w:val="es-CO"/>
        </w:rPr>
      </w:pPr>
    </w:p>
    <w:p w14:paraId="35DC0AC1" w14:textId="77777777" w:rsidR="00772A69" w:rsidRPr="00187D26" w:rsidRDefault="00772A69" w:rsidP="00BE08A3">
      <w:pPr>
        <w:pStyle w:val="ListParagraph"/>
        <w:numPr>
          <w:ilvl w:val="0"/>
          <w:numId w:val="2"/>
        </w:numPr>
        <w:pBdr>
          <w:top w:val="nil"/>
          <w:left w:val="nil"/>
          <w:bottom w:val="nil"/>
          <w:right w:val="nil"/>
          <w:between w:val="nil"/>
          <w:bar w:val="nil"/>
        </w:pBdr>
        <w:tabs>
          <w:tab w:val="left" w:pos="1620"/>
        </w:tabs>
        <w:spacing w:after="0" w:line="240" w:lineRule="auto"/>
        <w:ind w:left="810" w:right="360"/>
        <w:jc w:val="both"/>
        <w:rPr>
          <w:rFonts w:ascii="Cambria" w:hAnsi="Cambria"/>
          <w:sz w:val="20"/>
          <w:szCs w:val="20"/>
          <w:lang w:val="es-CO"/>
        </w:rPr>
      </w:pPr>
      <w:r w:rsidRPr="00187D26">
        <w:rPr>
          <w:rFonts w:ascii="Cambria" w:hAnsi="Cambria"/>
          <w:sz w:val="20"/>
          <w:szCs w:val="20"/>
          <w:lang w:val="es-CO"/>
        </w:rPr>
        <w:t xml:space="preserve">Reparar integralmente las violaciones declaradas en el presente caso teniendo en cuenta los parámetros dictados por la Corte Interamericana en la sentencia del caso de Trabajadores Cesados de Petroperú, en particular: </w:t>
      </w:r>
    </w:p>
    <w:p w14:paraId="36E25823" w14:textId="77777777" w:rsidR="00DE49FB" w:rsidRPr="00187D26" w:rsidRDefault="00DE49FB" w:rsidP="00DE49FB">
      <w:pPr>
        <w:pStyle w:val="ListParagraph"/>
        <w:pBdr>
          <w:top w:val="nil"/>
          <w:left w:val="nil"/>
          <w:bottom w:val="nil"/>
          <w:right w:val="nil"/>
          <w:between w:val="nil"/>
          <w:bar w:val="nil"/>
        </w:pBdr>
        <w:tabs>
          <w:tab w:val="left" w:pos="1620"/>
        </w:tabs>
        <w:spacing w:after="0" w:line="240" w:lineRule="auto"/>
        <w:ind w:left="1170" w:right="720"/>
        <w:jc w:val="both"/>
        <w:rPr>
          <w:rFonts w:ascii="Cambria" w:hAnsi="Cambria"/>
          <w:sz w:val="20"/>
          <w:szCs w:val="20"/>
          <w:lang w:val="es-CO"/>
        </w:rPr>
      </w:pPr>
    </w:p>
    <w:p w14:paraId="20AA057D" w14:textId="77777777" w:rsidR="00DE0517" w:rsidRPr="00187D26" w:rsidRDefault="00772A69" w:rsidP="00DE0517">
      <w:pPr>
        <w:pStyle w:val="ListParagraph"/>
        <w:numPr>
          <w:ilvl w:val="0"/>
          <w:numId w:val="3"/>
        </w:numPr>
        <w:pBdr>
          <w:top w:val="nil"/>
          <w:left w:val="nil"/>
          <w:bottom w:val="nil"/>
          <w:right w:val="nil"/>
          <w:between w:val="nil"/>
          <w:bar w:val="nil"/>
        </w:pBdr>
        <w:tabs>
          <w:tab w:val="left" w:pos="1620"/>
        </w:tabs>
        <w:spacing w:after="0" w:line="240" w:lineRule="auto"/>
        <w:ind w:right="720"/>
        <w:jc w:val="both"/>
        <w:rPr>
          <w:rFonts w:ascii="Cambria" w:hAnsi="Cambria"/>
          <w:sz w:val="20"/>
          <w:szCs w:val="20"/>
          <w:lang w:val="es-CO"/>
        </w:rPr>
      </w:pPr>
      <w:r w:rsidRPr="00187D26">
        <w:rPr>
          <w:rFonts w:ascii="Cambria" w:hAnsi="Cambria"/>
          <w:sz w:val="20"/>
          <w:szCs w:val="20"/>
          <w:lang w:val="es-CO"/>
        </w:rPr>
        <w:t xml:space="preserve">El pago de la cantidad de US$ 43.792 (cuarenta y tres mil setecientos noventa y dos dólares de los Estados Unidos de América) por concepto de lucro cesante, para cada una de las víctimas del presente caso. Si las víctimas hubieran recibido alguna compensación económica como consecuencia de la Ley 27803 está podrá ser descontada del monto total indicado. </w:t>
      </w:r>
    </w:p>
    <w:p w14:paraId="097DF237" w14:textId="77777777" w:rsidR="00DE0517" w:rsidRPr="00187D26" w:rsidRDefault="00DE0517" w:rsidP="00DE0517">
      <w:pPr>
        <w:pStyle w:val="ListParagraph"/>
        <w:pBdr>
          <w:top w:val="nil"/>
          <w:left w:val="nil"/>
          <w:bottom w:val="nil"/>
          <w:right w:val="nil"/>
          <w:between w:val="nil"/>
          <w:bar w:val="nil"/>
        </w:pBdr>
        <w:tabs>
          <w:tab w:val="left" w:pos="1620"/>
        </w:tabs>
        <w:spacing w:after="0" w:line="240" w:lineRule="auto"/>
        <w:ind w:left="1530" w:right="720"/>
        <w:jc w:val="both"/>
        <w:rPr>
          <w:rFonts w:ascii="Cambria" w:hAnsi="Cambria"/>
          <w:sz w:val="20"/>
          <w:szCs w:val="20"/>
          <w:lang w:val="es-CO"/>
        </w:rPr>
      </w:pPr>
    </w:p>
    <w:p w14:paraId="2B7B57E3" w14:textId="77777777" w:rsidR="00DE0517" w:rsidRPr="00187D26" w:rsidRDefault="00772A69" w:rsidP="00DE0517">
      <w:pPr>
        <w:pStyle w:val="ListParagraph"/>
        <w:numPr>
          <w:ilvl w:val="0"/>
          <w:numId w:val="3"/>
        </w:numPr>
        <w:pBdr>
          <w:top w:val="nil"/>
          <w:left w:val="nil"/>
          <w:bottom w:val="nil"/>
          <w:right w:val="nil"/>
          <w:between w:val="nil"/>
          <w:bar w:val="nil"/>
        </w:pBdr>
        <w:tabs>
          <w:tab w:val="left" w:pos="1620"/>
        </w:tabs>
        <w:spacing w:after="0" w:line="240" w:lineRule="auto"/>
        <w:ind w:right="720"/>
        <w:jc w:val="both"/>
        <w:rPr>
          <w:rFonts w:ascii="Cambria" w:hAnsi="Cambria"/>
          <w:sz w:val="20"/>
          <w:szCs w:val="20"/>
          <w:lang w:val="es-CO"/>
        </w:rPr>
      </w:pPr>
      <w:r w:rsidRPr="00187D26">
        <w:rPr>
          <w:rFonts w:ascii="Cambria" w:hAnsi="Cambria"/>
          <w:sz w:val="20"/>
          <w:szCs w:val="20"/>
          <w:lang w:val="es-CO"/>
        </w:rPr>
        <w:t xml:space="preserve">El pago de US$ 5,000 (cinco mil dólares de los Estados Unidos de América) por concepto de daño inmaterial derivado de la inadecuada falta de respuesta judicial del Estado ante sus ceses, el tiempo transcurrido desde los mismos, y la violación del derecho al trabajo mediante la aplicación del mecanismo de ceses colectivos sin la existencia de garantías laborales específicas ante su aplicación. </w:t>
      </w:r>
    </w:p>
    <w:p w14:paraId="35E77290" w14:textId="77777777" w:rsidR="00DE0517" w:rsidRPr="00187D26" w:rsidRDefault="00DE0517" w:rsidP="00DE0517">
      <w:pPr>
        <w:pStyle w:val="ListParagraph"/>
        <w:rPr>
          <w:rFonts w:ascii="Cambria" w:hAnsi="Cambria"/>
          <w:sz w:val="20"/>
          <w:szCs w:val="20"/>
          <w:lang w:val="es-CO"/>
        </w:rPr>
      </w:pPr>
    </w:p>
    <w:p w14:paraId="0DE8E560" w14:textId="6537DF38" w:rsidR="00772A69" w:rsidRPr="00187D26" w:rsidRDefault="00772A69" w:rsidP="00DE0517">
      <w:pPr>
        <w:pStyle w:val="ListParagraph"/>
        <w:numPr>
          <w:ilvl w:val="0"/>
          <w:numId w:val="3"/>
        </w:numPr>
        <w:pBdr>
          <w:top w:val="nil"/>
          <w:left w:val="nil"/>
          <w:bottom w:val="nil"/>
          <w:right w:val="nil"/>
          <w:between w:val="nil"/>
          <w:bar w:val="nil"/>
        </w:pBdr>
        <w:tabs>
          <w:tab w:val="left" w:pos="1620"/>
        </w:tabs>
        <w:spacing w:after="0" w:line="240" w:lineRule="auto"/>
        <w:ind w:right="720"/>
        <w:jc w:val="both"/>
        <w:rPr>
          <w:rFonts w:ascii="Cambria" w:hAnsi="Cambria"/>
          <w:sz w:val="20"/>
          <w:szCs w:val="20"/>
          <w:lang w:val="es-CO"/>
        </w:rPr>
      </w:pPr>
      <w:r w:rsidRPr="00187D26">
        <w:rPr>
          <w:rFonts w:ascii="Cambria" w:hAnsi="Cambria"/>
          <w:sz w:val="20"/>
          <w:szCs w:val="20"/>
          <w:lang w:val="es-CO"/>
        </w:rPr>
        <w:t>El pago de costas y gastos del litigio ante el Sistema Interamericano a los representantes de las víctimas.</w:t>
      </w:r>
    </w:p>
    <w:p w14:paraId="12313275" w14:textId="77777777" w:rsidR="00772A69" w:rsidRPr="00187D26" w:rsidRDefault="00772A69" w:rsidP="00187D26">
      <w:pPr>
        <w:pBdr>
          <w:top w:val="nil"/>
          <w:left w:val="nil"/>
          <w:bottom w:val="nil"/>
          <w:right w:val="nil"/>
          <w:between w:val="nil"/>
          <w:bar w:val="nil"/>
        </w:pBdr>
        <w:tabs>
          <w:tab w:val="left" w:pos="1620"/>
        </w:tabs>
        <w:spacing w:after="0" w:line="240" w:lineRule="auto"/>
        <w:ind w:right="720"/>
        <w:jc w:val="both"/>
        <w:rPr>
          <w:rFonts w:ascii="Cambria" w:hAnsi="Cambria"/>
          <w:sz w:val="20"/>
          <w:szCs w:val="20"/>
          <w:lang w:val="es-CO"/>
        </w:rPr>
      </w:pPr>
    </w:p>
    <w:p w14:paraId="657CDF39" w14:textId="354F3122" w:rsidR="00893B41" w:rsidRPr="00187D26" w:rsidRDefault="00886B09" w:rsidP="00893B41">
      <w:pPr>
        <w:tabs>
          <w:tab w:val="left" w:pos="360"/>
          <w:tab w:val="left" w:pos="540"/>
          <w:tab w:val="left" w:pos="720"/>
        </w:tabs>
        <w:spacing w:after="0" w:line="240" w:lineRule="auto"/>
        <w:jc w:val="both"/>
        <w:rPr>
          <w:rFonts w:ascii="Cambria" w:eastAsia="Times New Roman" w:hAnsi="Cambria" w:cs="Cambria"/>
          <w:sz w:val="20"/>
          <w:szCs w:val="20"/>
          <w:lang w:val="es-CO"/>
        </w:rPr>
      </w:pPr>
      <w:r w:rsidRPr="00187D26">
        <w:rPr>
          <w:rFonts w:ascii="Cambria" w:eastAsia="Times New Roman" w:hAnsi="Cambria" w:cs="Calibri"/>
          <w:sz w:val="20"/>
          <w:szCs w:val="20"/>
          <w:lang w:val="es-CO"/>
        </w:rPr>
        <w:tab/>
      </w:r>
      <w:r w:rsidR="00514E46" w:rsidRPr="00187D26">
        <w:rPr>
          <w:rFonts w:ascii="Cambria" w:eastAsia="Times New Roman" w:hAnsi="Cambria" w:cs="Calibri"/>
          <w:sz w:val="20"/>
          <w:szCs w:val="20"/>
          <w:lang w:val="es-CO"/>
        </w:rPr>
        <w:t>Además de la necesidad de obtener justicia y reparación debido al incumplimiento de las recomendaciones contenidas en el Informe de Admisibilidad y Fondo, la Comisión considera que el caso plantea cuestiones de orden público interamericano. Este permitirá a la Honorable Corte profundizar su jurisprudencia sobre el contenido del derecho al trabajo en el contexto de despidos injustificados y ceses colectivos. En particular, la Corte podrá pronunciarse sobre las garantías mínimas que deben otorgarse a los trabajadores para asegurar la adecuada protección de sus derechos frente a dichas prácticas, incluyendo el deber de motivar suficientemente, en cada caso, la razón de la terminación de la relación laboral. Asimismo, la Corte tendrá la oportunidad de seguir desarrollando su jurisprudencia sobre el deber del Estado de garantizar el acceso a recursos idóneos y efectivos, mediante mecanismos adecuados de reclamación —como los tribunales— para solicitar restitución, reparación o indemnización en procesos relacionados con presuntas vulneraciones de derechos reconocidos en virtud del artículo 26, tanto en el ámbito público como en el privado.</w:t>
      </w:r>
    </w:p>
    <w:p w14:paraId="028C72A4" w14:textId="77777777" w:rsidR="00893B41" w:rsidRPr="00187D26" w:rsidRDefault="00893B41" w:rsidP="00893B41">
      <w:pPr>
        <w:tabs>
          <w:tab w:val="left" w:pos="360"/>
          <w:tab w:val="left" w:pos="540"/>
          <w:tab w:val="left" w:pos="720"/>
        </w:tabs>
        <w:spacing w:after="0" w:line="240" w:lineRule="auto"/>
        <w:jc w:val="both"/>
        <w:rPr>
          <w:rFonts w:ascii="Cambria" w:eastAsia="Times New Roman" w:hAnsi="Cambria" w:cs="Cambria"/>
          <w:sz w:val="20"/>
          <w:szCs w:val="20"/>
          <w:lang w:val="es-CO"/>
        </w:rPr>
      </w:pPr>
    </w:p>
    <w:p w14:paraId="17580A49" w14:textId="77777777" w:rsidR="00772A69" w:rsidRPr="00187D26" w:rsidRDefault="00772A69" w:rsidP="00772A69">
      <w:pPr>
        <w:tabs>
          <w:tab w:val="left" w:pos="360"/>
        </w:tabs>
        <w:spacing w:after="0" w:line="240" w:lineRule="auto"/>
        <w:jc w:val="both"/>
        <w:rPr>
          <w:rFonts w:ascii="Cambria" w:hAnsi="Cambria" w:cs="Calibri"/>
          <w:sz w:val="20"/>
          <w:szCs w:val="20"/>
          <w:lang w:val="es-CO"/>
        </w:rPr>
      </w:pPr>
      <w:r w:rsidRPr="00187D26">
        <w:rPr>
          <w:rFonts w:ascii="Cambria" w:hAnsi="Cambria" w:cs="Calibri"/>
          <w:sz w:val="20"/>
          <w:szCs w:val="20"/>
          <w:lang w:val="es-CO"/>
        </w:rPr>
        <w:tab/>
        <w:t>La Comisión pone en conocimiento de la Honorable Corte la siguiente información de quienes actúan como parte peticionaria en el trámite ante la CIDH conforme a la información más reciente:</w:t>
      </w:r>
    </w:p>
    <w:p w14:paraId="278F5C2D" w14:textId="77777777" w:rsidR="00772A69" w:rsidRPr="00187D26" w:rsidRDefault="00772A69" w:rsidP="00772A69">
      <w:pPr>
        <w:spacing w:after="0" w:line="240" w:lineRule="auto"/>
        <w:rPr>
          <w:rFonts w:ascii="Cambria" w:eastAsia="Times New Roman" w:hAnsi="Cambria"/>
          <w:sz w:val="20"/>
          <w:szCs w:val="20"/>
          <w:highlight w:val="cyan"/>
          <w:lang w:val="es-CO"/>
        </w:rPr>
      </w:pPr>
    </w:p>
    <w:p w14:paraId="67D4C0C5" w14:textId="77777777" w:rsidR="00187D26" w:rsidRPr="00187D26" w:rsidRDefault="00187D26" w:rsidP="00187D26">
      <w:pPr>
        <w:spacing w:after="0" w:line="240" w:lineRule="auto"/>
        <w:jc w:val="center"/>
        <w:rPr>
          <w:rFonts w:ascii="Cambria" w:eastAsia="Times New Roman" w:hAnsi="Cambria"/>
          <w:sz w:val="20"/>
          <w:szCs w:val="20"/>
          <w:lang w:val="es-US"/>
        </w:rPr>
      </w:pPr>
      <w:r w:rsidRPr="00EA4103">
        <w:rPr>
          <w:rFonts w:ascii="Cambria" w:eastAsia="Times New Roman" w:hAnsi="Cambria"/>
          <w:sz w:val="20"/>
          <w:szCs w:val="20"/>
          <w:lang w:val="es-US"/>
        </w:rPr>
        <w:t>Victoria A. Albán Villareyes</w:t>
      </w:r>
    </w:p>
    <w:p w14:paraId="67F43907" w14:textId="1A378B56" w:rsidR="00187D26" w:rsidRPr="00CA4282" w:rsidRDefault="00CA4282" w:rsidP="00187D26">
      <w:pPr>
        <w:spacing w:after="0" w:line="240" w:lineRule="auto"/>
        <w:jc w:val="center"/>
        <w:rPr>
          <w:rFonts w:ascii="Cambria" w:eastAsia="Times New Roman" w:hAnsi="Cambria"/>
          <w:sz w:val="20"/>
          <w:szCs w:val="20"/>
          <w:highlight w:val="black"/>
          <w:lang w:val="es-US"/>
        </w:rPr>
      </w:pPr>
      <w:r w:rsidRPr="00CA4282">
        <w:rPr>
          <w:rFonts w:ascii="Cambria" w:eastAsia="Times New Roman" w:hAnsi="Cambria"/>
          <w:sz w:val="20"/>
          <w:szCs w:val="20"/>
          <w:highlight w:val="black"/>
          <w:lang w:val="es-US"/>
        </w:rPr>
        <w:t>XXXXXXXXXXXXXXXXXXXXXXXXXXX</w:t>
      </w:r>
    </w:p>
    <w:p w14:paraId="1F3CBE3A" w14:textId="77777777" w:rsidR="00187D26" w:rsidRPr="00187D26" w:rsidRDefault="00187D26" w:rsidP="00187D26">
      <w:pPr>
        <w:spacing w:after="0" w:line="240" w:lineRule="auto"/>
        <w:jc w:val="center"/>
        <w:rPr>
          <w:rFonts w:ascii="Cambria" w:hAnsi="Cambria"/>
          <w:sz w:val="20"/>
          <w:szCs w:val="20"/>
          <w:lang w:val="es-US"/>
        </w:rPr>
      </w:pPr>
    </w:p>
    <w:p w14:paraId="785A7422" w14:textId="77777777" w:rsidR="00187D26" w:rsidRPr="00187D26" w:rsidRDefault="00187D26" w:rsidP="00187D26">
      <w:pPr>
        <w:spacing w:after="0" w:line="240" w:lineRule="auto"/>
        <w:jc w:val="center"/>
        <w:rPr>
          <w:rFonts w:ascii="Cambria" w:eastAsia="Times New Roman" w:hAnsi="Cambria"/>
          <w:sz w:val="20"/>
          <w:szCs w:val="20"/>
        </w:rPr>
      </w:pPr>
      <w:r w:rsidRPr="00EA4103">
        <w:rPr>
          <w:rFonts w:ascii="Cambria" w:eastAsia="Times New Roman" w:hAnsi="Cambria"/>
          <w:sz w:val="20"/>
          <w:szCs w:val="20"/>
        </w:rPr>
        <w:t>William Deyra Camacho</w:t>
      </w:r>
    </w:p>
    <w:p w14:paraId="41263DFA" w14:textId="0D06F91B" w:rsidR="00187D26" w:rsidRPr="00CA4282" w:rsidRDefault="00CA4282" w:rsidP="00187D26">
      <w:pPr>
        <w:spacing w:after="0" w:line="240" w:lineRule="auto"/>
        <w:jc w:val="center"/>
        <w:rPr>
          <w:rFonts w:ascii="Cambria" w:eastAsia="Times New Roman" w:hAnsi="Cambria"/>
          <w:sz w:val="20"/>
          <w:szCs w:val="20"/>
          <w:highlight w:val="black"/>
        </w:rPr>
      </w:pPr>
      <w:r w:rsidRPr="00CA4282">
        <w:rPr>
          <w:rFonts w:ascii="Cambria" w:eastAsia="Times New Roman" w:hAnsi="Cambria"/>
          <w:sz w:val="20"/>
          <w:szCs w:val="20"/>
          <w:highlight w:val="black"/>
        </w:rPr>
        <w:t>XXXXXXXXXXXXXXXXXXX</w:t>
      </w:r>
    </w:p>
    <w:p w14:paraId="732482F3" w14:textId="77777777" w:rsidR="00187D26" w:rsidRPr="00187D26" w:rsidRDefault="00187D26" w:rsidP="00187D26">
      <w:pPr>
        <w:spacing w:after="0" w:line="240" w:lineRule="auto"/>
        <w:jc w:val="center"/>
        <w:rPr>
          <w:rFonts w:ascii="Cambria" w:hAnsi="Cambria"/>
          <w:sz w:val="20"/>
          <w:szCs w:val="20"/>
        </w:rPr>
      </w:pPr>
    </w:p>
    <w:p w14:paraId="5AC08A07" w14:textId="77777777" w:rsidR="00187D26" w:rsidRPr="00187D26" w:rsidRDefault="00187D26" w:rsidP="00187D26">
      <w:pPr>
        <w:spacing w:after="0" w:line="240" w:lineRule="auto"/>
        <w:jc w:val="center"/>
        <w:rPr>
          <w:rFonts w:ascii="Cambria" w:eastAsia="Times New Roman" w:hAnsi="Cambria"/>
          <w:sz w:val="20"/>
          <w:szCs w:val="20"/>
          <w:lang w:val="pt-BR"/>
        </w:rPr>
      </w:pPr>
      <w:r w:rsidRPr="00EA4103">
        <w:rPr>
          <w:rFonts w:ascii="Cambria" w:eastAsia="Times New Roman" w:hAnsi="Cambria"/>
          <w:sz w:val="20"/>
          <w:szCs w:val="20"/>
          <w:lang w:val="pt-BR"/>
        </w:rPr>
        <w:t>Pedro Medina Barreto</w:t>
      </w:r>
    </w:p>
    <w:p w14:paraId="277C2229" w14:textId="11F87BAA" w:rsidR="00187D26" w:rsidRPr="00CA4282" w:rsidRDefault="00CA4282" w:rsidP="00187D26">
      <w:pPr>
        <w:spacing w:after="0" w:line="240" w:lineRule="auto"/>
        <w:jc w:val="center"/>
        <w:rPr>
          <w:rFonts w:ascii="Cambria" w:eastAsia="Times New Roman" w:hAnsi="Cambria"/>
          <w:sz w:val="20"/>
          <w:szCs w:val="20"/>
          <w:highlight w:val="black"/>
          <w:lang w:val="pt-BR"/>
        </w:rPr>
      </w:pPr>
      <w:r w:rsidRPr="00CA4282">
        <w:rPr>
          <w:rFonts w:ascii="Cambria" w:eastAsia="Times New Roman" w:hAnsi="Cambria"/>
          <w:sz w:val="20"/>
          <w:szCs w:val="20"/>
          <w:highlight w:val="black"/>
          <w:lang w:val="pt-BR"/>
        </w:rPr>
        <w:t>XXXXXXXXXXXXXXXXXXXXXXXXXXXXX</w:t>
      </w:r>
    </w:p>
    <w:p w14:paraId="60373CC9" w14:textId="77777777" w:rsidR="00187D26" w:rsidRPr="00187D26" w:rsidRDefault="00187D26" w:rsidP="00187D26">
      <w:pPr>
        <w:spacing w:after="0" w:line="240" w:lineRule="auto"/>
        <w:jc w:val="center"/>
        <w:rPr>
          <w:rFonts w:ascii="Cambria" w:hAnsi="Cambria"/>
          <w:sz w:val="20"/>
          <w:szCs w:val="20"/>
          <w:lang w:val="pt-BR"/>
        </w:rPr>
      </w:pPr>
    </w:p>
    <w:p w14:paraId="4223C635" w14:textId="77777777" w:rsidR="00187D26" w:rsidRPr="00187D26" w:rsidRDefault="00187D26" w:rsidP="00187D26">
      <w:pPr>
        <w:spacing w:after="0" w:line="240" w:lineRule="auto"/>
        <w:jc w:val="center"/>
        <w:rPr>
          <w:rFonts w:ascii="Cambria" w:eastAsia="Times New Roman" w:hAnsi="Cambria"/>
          <w:sz w:val="20"/>
          <w:szCs w:val="20"/>
          <w:lang w:val="es-US"/>
        </w:rPr>
      </w:pPr>
      <w:r w:rsidRPr="00EA4103">
        <w:rPr>
          <w:rFonts w:ascii="Cambria" w:eastAsia="Times New Roman" w:hAnsi="Cambria"/>
          <w:sz w:val="20"/>
          <w:szCs w:val="20"/>
          <w:lang w:val="es-US"/>
        </w:rPr>
        <w:t>José Clavijo Peralta</w:t>
      </w:r>
    </w:p>
    <w:p w14:paraId="7177BB43" w14:textId="7581475D" w:rsidR="00187D26" w:rsidRPr="00CA4282" w:rsidRDefault="00CA4282" w:rsidP="00187D26">
      <w:pPr>
        <w:spacing w:after="0" w:line="240" w:lineRule="auto"/>
        <w:jc w:val="center"/>
        <w:rPr>
          <w:rFonts w:ascii="Cambria" w:hAnsi="Cambria"/>
          <w:sz w:val="20"/>
          <w:szCs w:val="20"/>
          <w:highlight w:val="black"/>
          <w:lang w:val="es-US"/>
        </w:rPr>
      </w:pPr>
      <w:r w:rsidRPr="00CA4282">
        <w:rPr>
          <w:rFonts w:ascii="Cambria" w:hAnsi="Cambria"/>
          <w:sz w:val="20"/>
          <w:szCs w:val="20"/>
          <w:highlight w:val="black"/>
          <w:lang w:val="es-US"/>
        </w:rPr>
        <w:t>XXXXXXXXXXXXXXXXXXXXXXXXXXXXXXXXX</w:t>
      </w:r>
    </w:p>
    <w:p w14:paraId="1957FBA5" w14:textId="77777777" w:rsidR="00187D26" w:rsidRPr="00187D26" w:rsidRDefault="00187D26" w:rsidP="00187D26">
      <w:pPr>
        <w:spacing w:after="0" w:line="240" w:lineRule="auto"/>
        <w:jc w:val="center"/>
        <w:rPr>
          <w:rFonts w:ascii="Cambria" w:hAnsi="Cambria"/>
          <w:sz w:val="20"/>
          <w:szCs w:val="20"/>
          <w:lang w:val="es-US"/>
        </w:rPr>
      </w:pPr>
    </w:p>
    <w:p w14:paraId="5F5D979F" w14:textId="77777777" w:rsidR="00187D26" w:rsidRPr="00187D26" w:rsidRDefault="00187D26" w:rsidP="00187D26">
      <w:pPr>
        <w:spacing w:after="0" w:line="240" w:lineRule="auto"/>
        <w:jc w:val="center"/>
        <w:rPr>
          <w:rFonts w:ascii="Cambria" w:hAnsi="Cambria"/>
          <w:sz w:val="20"/>
          <w:szCs w:val="20"/>
          <w:lang w:val="es-US"/>
        </w:rPr>
      </w:pPr>
      <w:r w:rsidRPr="00187D26">
        <w:rPr>
          <w:rFonts w:ascii="Cambria" w:hAnsi="Cambria"/>
          <w:sz w:val="20"/>
          <w:szCs w:val="20"/>
          <w:lang w:val="es-US"/>
        </w:rPr>
        <w:t>Cesar Augusto Zapata Juárez y</w:t>
      </w:r>
    </w:p>
    <w:p w14:paraId="248E8ED2" w14:textId="77777777" w:rsidR="00187D26" w:rsidRPr="00187D26" w:rsidRDefault="00187D26" w:rsidP="00187D26">
      <w:pPr>
        <w:spacing w:after="0" w:line="240" w:lineRule="auto"/>
        <w:jc w:val="center"/>
        <w:rPr>
          <w:rFonts w:ascii="Cambria" w:hAnsi="Cambria"/>
          <w:sz w:val="20"/>
          <w:szCs w:val="20"/>
          <w:lang w:val="es-US"/>
        </w:rPr>
      </w:pPr>
      <w:r w:rsidRPr="00187D26">
        <w:rPr>
          <w:rFonts w:ascii="Cambria" w:hAnsi="Cambria"/>
          <w:sz w:val="20"/>
          <w:szCs w:val="20"/>
          <w:lang w:val="es-US"/>
        </w:rPr>
        <w:t>Lorena Liliana Calderón Zapata</w:t>
      </w:r>
    </w:p>
    <w:p w14:paraId="0C09E2E3" w14:textId="1FA39632" w:rsidR="00187D26" w:rsidRPr="00CA4282" w:rsidRDefault="00CA4282" w:rsidP="00187D26">
      <w:pPr>
        <w:spacing w:after="0" w:line="240" w:lineRule="auto"/>
        <w:jc w:val="center"/>
        <w:rPr>
          <w:rFonts w:ascii="Cambria" w:eastAsia="Times New Roman" w:hAnsi="Cambria"/>
          <w:sz w:val="20"/>
          <w:szCs w:val="20"/>
          <w:highlight w:val="black"/>
          <w:lang w:val="es-US"/>
        </w:rPr>
      </w:pPr>
      <w:r w:rsidRPr="00CA4282">
        <w:rPr>
          <w:rFonts w:ascii="Cambria" w:eastAsia="Times New Roman" w:hAnsi="Cambria"/>
          <w:sz w:val="20"/>
          <w:szCs w:val="20"/>
          <w:highlight w:val="black"/>
          <w:lang w:val="es-US"/>
        </w:rPr>
        <w:t>XXXXXXXXXXXXXXXXXXXXXXXXX</w:t>
      </w:r>
    </w:p>
    <w:p w14:paraId="7251D4B6" w14:textId="77777777" w:rsidR="00187D26" w:rsidRPr="00187D26" w:rsidRDefault="00187D26" w:rsidP="00187D26">
      <w:pPr>
        <w:spacing w:after="0" w:line="240" w:lineRule="auto"/>
        <w:jc w:val="center"/>
        <w:rPr>
          <w:rFonts w:ascii="Cambria" w:hAnsi="Cambria"/>
          <w:sz w:val="20"/>
          <w:szCs w:val="20"/>
          <w:lang w:val="es-US"/>
        </w:rPr>
      </w:pPr>
    </w:p>
    <w:p w14:paraId="485A3770" w14:textId="77777777" w:rsidR="00187D26" w:rsidRPr="00187D26" w:rsidRDefault="00187D26" w:rsidP="00187D26">
      <w:pPr>
        <w:spacing w:after="0" w:line="240" w:lineRule="auto"/>
        <w:jc w:val="center"/>
        <w:rPr>
          <w:rFonts w:ascii="Cambria" w:hAnsi="Cambria"/>
          <w:sz w:val="20"/>
          <w:szCs w:val="20"/>
          <w:lang w:val="pt-BR"/>
        </w:rPr>
      </w:pPr>
      <w:r w:rsidRPr="00187D26">
        <w:rPr>
          <w:rFonts w:ascii="Cambria" w:hAnsi="Cambria"/>
          <w:sz w:val="20"/>
          <w:szCs w:val="20"/>
          <w:lang w:val="pt-BR"/>
        </w:rPr>
        <w:t>Segundo Cristobal Socola Herrera</w:t>
      </w:r>
    </w:p>
    <w:p w14:paraId="480D9E20" w14:textId="797126EB" w:rsidR="00187D26" w:rsidRPr="00CA4282" w:rsidRDefault="00CA4282" w:rsidP="00187D26">
      <w:pPr>
        <w:spacing w:after="0" w:line="240" w:lineRule="auto"/>
        <w:jc w:val="center"/>
        <w:rPr>
          <w:rFonts w:ascii="Cambria" w:hAnsi="Cambria"/>
          <w:sz w:val="20"/>
          <w:szCs w:val="20"/>
          <w:highlight w:val="black"/>
          <w:lang w:val="pt-BR"/>
        </w:rPr>
      </w:pPr>
      <w:r w:rsidRPr="00CA4282">
        <w:rPr>
          <w:rFonts w:ascii="Cambria" w:hAnsi="Cambria"/>
          <w:sz w:val="20"/>
          <w:szCs w:val="20"/>
          <w:highlight w:val="black"/>
          <w:lang w:val="pt-BR"/>
        </w:rPr>
        <w:t>XXXXXXXXXXXXXXXXXXXXXXXXXXX</w:t>
      </w:r>
    </w:p>
    <w:p w14:paraId="4D7814AE" w14:textId="77777777" w:rsidR="00187D26" w:rsidRPr="00187D26" w:rsidRDefault="00187D26" w:rsidP="00187D26">
      <w:pPr>
        <w:spacing w:after="0" w:line="240" w:lineRule="auto"/>
        <w:jc w:val="center"/>
        <w:rPr>
          <w:rFonts w:ascii="Cambria" w:hAnsi="Cambria"/>
          <w:sz w:val="20"/>
          <w:szCs w:val="20"/>
          <w:lang w:val="pt-BR"/>
        </w:rPr>
      </w:pPr>
    </w:p>
    <w:p w14:paraId="12BE3600" w14:textId="77777777" w:rsidR="00187D26" w:rsidRPr="00187D26" w:rsidRDefault="00187D26" w:rsidP="00187D26">
      <w:pPr>
        <w:spacing w:after="0" w:line="240" w:lineRule="auto"/>
        <w:jc w:val="center"/>
        <w:rPr>
          <w:rFonts w:ascii="Cambria" w:eastAsia="Times New Roman" w:hAnsi="Cambria"/>
          <w:sz w:val="20"/>
          <w:szCs w:val="20"/>
          <w:lang w:val="pt-BR"/>
        </w:rPr>
      </w:pPr>
      <w:r w:rsidRPr="00EA4103">
        <w:rPr>
          <w:rFonts w:ascii="Cambria" w:eastAsia="Times New Roman" w:hAnsi="Cambria"/>
          <w:sz w:val="20"/>
          <w:szCs w:val="20"/>
          <w:lang w:val="pt-BR"/>
        </w:rPr>
        <w:t>Abg. Jorge Serafín Llanos Moran</w:t>
      </w:r>
    </w:p>
    <w:p w14:paraId="262A48DC" w14:textId="5E5FC50C" w:rsidR="00187D26" w:rsidRPr="00CA4282" w:rsidRDefault="00CA4282" w:rsidP="00187D26">
      <w:pPr>
        <w:spacing w:after="0" w:line="240" w:lineRule="auto"/>
        <w:jc w:val="center"/>
        <w:rPr>
          <w:rFonts w:ascii="Cambria" w:eastAsia="Times New Roman" w:hAnsi="Cambria"/>
          <w:sz w:val="20"/>
          <w:szCs w:val="20"/>
          <w:highlight w:val="black"/>
          <w:lang w:val="pt-BR"/>
        </w:rPr>
      </w:pPr>
      <w:r w:rsidRPr="00CA4282">
        <w:rPr>
          <w:rFonts w:ascii="Cambria" w:eastAsia="Times New Roman" w:hAnsi="Cambria"/>
          <w:sz w:val="20"/>
          <w:szCs w:val="20"/>
          <w:highlight w:val="black"/>
          <w:lang w:val="pt-BR"/>
        </w:rPr>
        <w:t>XXXXXXXXXXXXXXXXXXXXXXX</w:t>
      </w:r>
    </w:p>
    <w:p w14:paraId="3F39F5DD" w14:textId="77777777" w:rsidR="00187D26" w:rsidRPr="00187D26" w:rsidRDefault="00187D26" w:rsidP="00187D26">
      <w:pPr>
        <w:spacing w:after="0" w:line="240" w:lineRule="auto"/>
        <w:jc w:val="center"/>
        <w:rPr>
          <w:rFonts w:ascii="Cambria" w:hAnsi="Cambria"/>
          <w:sz w:val="20"/>
          <w:szCs w:val="20"/>
          <w:lang w:val="pt-BR"/>
        </w:rPr>
      </w:pPr>
    </w:p>
    <w:p w14:paraId="2D9A063D" w14:textId="77777777" w:rsidR="00187D26" w:rsidRPr="00187D26" w:rsidRDefault="00187D26" w:rsidP="00187D26">
      <w:pPr>
        <w:spacing w:after="0" w:line="240" w:lineRule="auto"/>
        <w:jc w:val="center"/>
        <w:rPr>
          <w:rFonts w:ascii="Cambria" w:hAnsi="Cambria"/>
          <w:sz w:val="20"/>
          <w:szCs w:val="20"/>
          <w:lang w:val="pt-BR"/>
        </w:rPr>
      </w:pPr>
      <w:r w:rsidRPr="00187D26">
        <w:rPr>
          <w:rFonts w:ascii="Cambria" w:hAnsi="Cambria"/>
          <w:sz w:val="20"/>
          <w:szCs w:val="20"/>
          <w:lang w:val="pt-BR"/>
        </w:rPr>
        <w:t>Manuel Demetrio Atoche Ordinola</w:t>
      </w:r>
    </w:p>
    <w:p w14:paraId="08EE1BAB" w14:textId="67A16F2F" w:rsidR="00187D26" w:rsidRPr="00CA4282" w:rsidRDefault="00CA4282" w:rsidP="00187D26">
      <w:pPr>
        <w:spacing w:after="0" w:line="240" w:lineRule="auto"/>
        <w:jc w:val="center"/>
        <w:rPr>
          <w:rFonts w:ascii="Cambria" w:eastAsia="Times New Roman" w:hAnsi="Cambria"/>
          <w:sz w:val="20"/>
          <w:szCs w:val="20"/>
          <w:highlight w:val="black"/>
          <w:lang w:val="es-US"/>
        </w:rPr>
      </w:pPr>
      <w:r w:rsidRPr="00CA4282">
        <w:rPr>
          <w:rFonts w:ascii="Cambria" w:eastAsia="Times New Roman" w:hAnsi="Cambria"/>
          <w:sz w:val="20"/>
          <w:szCs w:val="20"/>
          <w:highlight w:val="black"/>
          <w:lang w:val="es-US"/>
        </w:rPr>
        <w:t>XXXXXXXXXXXXXXXXXXXXX</w:t>
      </w:r>
    </w:p>
    <w:p w14:paraId="31A829DE" w14:textId="77777777" w:rsidR="00187D26" w:rsidRPr="00187D26" w:rsidRDefault="00187D26" w:rsidP="00187D26">
      <w:pPr>
        <w:spacing w:after="0" w:line="240" w:lineRule="auto"/>
        <w:jc w:val="center"/>
        <w:rPr>
          <w:rFonts w:ascii="Cambria" w:hAnsi="Cambria"/>
          <w:sz w:val="20"/>
          <w:szCs w:val="20"/>
          <w:lang w:val="es-US"/>
        </w:rPr>
      </w:pPr>
    </w:p>
    <w:p w14:paraId="1B5AECB6" w14:textId="77777777" w:rsidR="00187D26" w:rsidRPr="00187D26" w:rsidRDefault="00187D26" w:rsidP="00187D26">
      <w:pPr>
        <w:spacing w:after="0" w:line="240" w:lineRule="auto"/>
        <w:jc w:val="center"/>
        <w:rPr>
          <w:rFonts w:ascii="Cambria" w:hAnsi="Cambria"/>
          <w:sz w:val="20"/>
          <w:szCs w:val="20"/>
          <w:lang w:val="es-US"/>
        </w:rPr>
      </w:pPr>
      <w:r w:rsidRPr="00187D26">
        <w:rPr>
          <w:rFonts w:ascii="Cambria" w:hAnsi="Cambria"/>
          <w:sz w:val="20"/>
          <w:szCs w:val="20"/>
          <w:lang w:val="es-US"/>
        </w:rPr>
        <w:t>Felix Dagoberto Gutiérrez Gómez</w:t>
      </w:r>
    </w:p>
    <w:p w14:paraId="0A37CB67" w14:textId="47308CEC" w:rsidR="00187D26" w:rsidRPr="00CA4282" w:rsidRDefault="00CA4282" w:rsidP="00187D26">
      <w:pPr>
        <w:spacing w:after="0" w:line="240" w:lineRule="auto"/>
        <w:jc w:val="center"/>
        <w:rPr>
          <w:rFonts w:ascii="Cambria" w:eastAsia="Times New Roman" w:hAnsi="Cambria"/>
          <w:sz w:val="20"/>
          <w:szCs w:val="20"/>
          <w:highlight w:val="black"/>
          <w:lang w:val="es-US"/>
        </w:rPr>
      </w:pPr>
      <w:r w:rsidRPr="00CA4282">
        <w:rPr>
          <w:rFonts w:ascii="Cambria" w:eastAsia="Times New Roman" w:hAnsi="Cambria"/>
          <w:sz w:val="20"/>
          <w:szCs w:val="20"/>
          <w:highlight w:val="black"/>
          <w:lang w:val="es-US"/>
        </w:rPr>
        <w:t>XXXXXXXXXXXXXXXXXXX</w:t>
      </w:r>
    </w:p>
    <w:p w14:paraId="1982D442" w14:textId="77777777" w:rsidR="00187D26" w:rsidRPr="00187D26" w:rsidRDefault="00187D26" w:rsidP="00187D26">
      <w:pPr>
        <w:spacing w:after="0" w:line="240" w:lineRule="auto"/>
        <w:jc w:val="center"/>
        <w:rPr>
          <w:rFonts w:ascii="Cambria" w:hAnsi="Cambria"/>
          <w:sz w:val="20"/>
          <w:szCs w:val="20"/>
          <w:lang w:val="es-US"/>
        </w:rPr>
      </w:pPr>
    </w:p>
    <w:p w14:paraId="4B15B766" w14:textId="77777777" w:rsidR="00187D26" w:rsidRPr="00187D26" w:rsidRDefault="00187D26" w:rsidP="00187D26">
      <w:pPr>
        <w:spacing w:after="0" w:line="240" w:lineRule="auto"/>
        <w:jc w:val="center"/>
        <w:rPr>
          <w:rFonts w:ascii="Cambria" w:hAnsi="Cambria"/>
          <w:sz w:val="20"/>
          <w:szCs w:val="20"/>
          <w:lang w:val="es-US"/>
        </w:rPr>
      </w:pPr>
      <w:r w:rsidRPr="00187D26">
        <w:rPr>
          <w:rFonts w:ascii="Cambria" w:hAnsi="Cambria"/>
          <w:sz w:val="20"/>
          <w:szCs w:val="20"/>
          <w:lang w:val="es-US"/>
        </w:rPr>
        <w:t>Justo Arcángel Guzmán Belepú</w:t>
      </w:r>
    </w:p>
    <w:p w14:paraId="1B29B294" w14:textId="571C3F9D" w:rsidR="00187D26" w:rsidRPr="00CA4282" w:rsidRDefault="00CA4282" w:rsidP="00187D26">
      <w:pPr>
        <w:spacing w:after="0" w:line="240" w:lineRule="auto"/>
        <w:jc w:val="center"/>
        <w:rPr>
          <w:rFonts w:ascii="Cambria" w:eastAsia="Times New Roman" w:hAnsi="Cambria"/>
          <w:sz w:val="20"/>
          <w:szCs w:val="20"/>
          <w:highlight w:val="black"/>
          <w:lang w:val="es-US"/>
        </w:rPr>
      </w:pPr>
      <w:r w:rsidRPr="00CA4282">
        <w:rPr>
          <w:rFonts w:ascii="Cambria" w:eastAsia="Times New Roman" w:hAnsi="Cambria"/>
          <w:sz w:val="20"/>
          <w:szCs w:val="20"/>
          <w:highlight w:val="black"/>
          <w:lang w:val="es-US"/>
        </w:rPr>
        <w:t>XXXXXXXXXXXXXXXXXXXXXXXXXXXXXXX</w:t>
      </w:r>
    </w:p>
    <w:p w14:paraId="41CFF307" w14:textId="77777777" w:rsidR="00772A69" w:rsidRDefault="00772A69" w:rsidP="00772A69">
      <w:pPr>
        <w:spacing w:after="0" w:line="240" w:lineRule="auto"/>
        <w:jc w:val="center"/>
        <w:rPr>
          <w:rFonts w:ascii="Cambria" w:hAnsi="Cambria" w:cs="Calibri"/>
          <w:sz w:val="20"/>
          <w:szCs w:val="20"/>
          <w:highlight w:val="cyan"/>
          <w:lang w:val="es-CO"/>
        </w:rPr>
      </w:pPr>
    </w:p>
    <w:p w14:paraId="5D6D994A" w14:textId="77777777" w:rsidR="00187D26" w:rsidRPr="00187D26" w:rsidRDefault="00187D26" w:rsidP="00772A69">
      <w:pPr>
        <w:spacing w:after="0" w:line="240" w:lineRule="auto"/>
        <w:jc w:val="center"/>
        <w:rPr>
          <w:rFonts w:ascii="Cambria" w:hAnsi="Cambria" w:cs="Calibri"/>
          <w:sz w:val="20"/>
          <w:szCs w:val="20"/>
          <w:highlight w:val="cyan"/>
          <w:lang w:val="es-CO"/>
        </w:rPr>
      </w:pPr>
    </w:p>
    <w:p w14:paraId="61AB34B9" w14:textId="77777777" w:rsidR="00772A69" w:rsidRDefault="00772A69" w:rsidP="00187D26">
      <w:pPr>
        <w:spacing w:after="0" w:line="240" w:lineRule="auto"/>
        <w:ind w:firstLine="360"/>
        <w:jc w:val="both"/>
        <w:rPr>
          <w:rFonts w:ascii="Cambria" w:hAnsi="Cambria" w:cs="Calibri"/>
          <w:sz w:val="20"/>
          <w:szCs w:val="20"/>
          <w:lang w:val="es-CO"/>
        </w:rPr>
      </w:pPr>
      <w:r w:rsidRPr="00187D26">
        <w:rPr>
          <w:rFonts w:ascii="Cambria" w:hAnsi="Cambria" w:cs="Calibri"/>
          <w:sz w:val="20"/>
          <w:szCs w:val="20"/>
          <w:lang w:val="es-CO"/>
        </w:rPr>
        <w:t>Aprovecho la oportunidad para saludar a usted muy atentamente,</w:t>
      </w:r>
    </w:p>
    <w:p w14:paraId="1863A8B5" w14:textId="77777777" w:rsidR="001B0822" w:rsidRDefault="001B0822" w:rsidP="00187D26">
      <w:pPr>
        <w:spacing w:after="0" w:line="240" w:lineRule="auto"/>
        <w:ind w:firstLine="360"/>
        <w:jc w:val="both"/>
        <w:rPr>
          <w:rFonts w:ascii="Cambria" w:hAnsi="Cambria" w:cs="Calibri"/>
          <w:sz w:val="20"/>
          <w:szCs w:val="20"/>
          <w:lang w:val="es-CO"/>
        </w:rPr>
      </w:pPr>
    </w:p>
    <w:p w14:paraId="75CF7974" w14:textId="77777777" w:rsidR="001B0822" w:rsidRDefault="001B0822" w:rsidP="00187D26">
      <w:pPr>
        <w:spacing w:after="0" w:line="240" w:lineRule="auto"/>
        <w:ind w:firstLine="360"/>
        <w:jc w:val="both"/>
        <w:rPr>
          <w:rFonts w:ascii="Cambria" w:hAnsi="Cambria" w:cs="Calibri"/>
          <w:sz w:val="20"/>
          <w:szCs w:val="20"/>
          <w:lang w:val="es-CO"/>
        </w:rPr>
      </w:pPr>
    </w:p>
    <w:p w14:paraId="38AA8CE8" w14:textId="77777777" w:rsidR="001B0822" w:rsidRPr="00595422" w:rsidRDefault="001B0822" w:rsidP="001B0822">
      <w:pPr>
        <w:spacing w:after="0" w:line="240" w:lineRule="auto"/>
        <w:jc w:val="center"/>
        <w:rPr>
          <w:rFonts w:ascii="Cambria" w:hAnsi="Cambria"/>
          <w:sz w:val="20"/>
          <w:szCs w:val="20"/>
          <w:lang w:val="pt-BR"/>
        </w:rPr>
      </w:pPr>
      <w:r w:rsidRPr="00595422">
        <w:rPr>
          <w:rFonts w:ascii="Cambria" w:hAnsi="Cambria"/>
          <w:sz w:val="20"/>
          <w:szCs w:val="20"/>
          <w:lang w:val="pt-BR"/>
        </w:rPr>
        <w:t>Jorge Meza Flores</w:t>
      </w:r>
    </w:p>
    <w:p w14:paraId="01EC8510" w14:textId="77777777" w:rsidR="001B0822" w:rsidRPr="00595422" w:rsidRDefault="001B0822" w:rsidP="001B0822">
      <w:pPr>
        <w:spacing w:after="0" w:line="240" w:lineRule="auto"/>
        <w:jc w:val="center"/>
        <w:rPr>
          <w:rFonts w:ascii="Cambria" w:hAnsi="Cambria"/>
          <w:sz w:val="20"/>
          <w:szCs w:val="20"/>
          <w:lang w:val="pt-BR"/>
        </w:rPr>
      </w:pPr>
      <w:r w:rsidRPr="00595422">
        <w:rPr>
          <w:rFonts w:ascii="Cambria" w:hAnsi="Cambria"/>
          <w:sz w:val="20"/>
          <w:szCs w:val="20"/>
          <w:lang w:val="pt-BR"/>
        </w:rPr>
        <w:t>Secretario Ejecutivo Adjunto</w:t>
      </w:r>
    </w:p>
    <w:p w14:paraId="29D0E619" w14:textId="0A3E51B2" w:rsidR="001B0822" w:rsidRPr="00187D26" w:rsidRDefault="001B0822" w:rsidP="00187D26">
      <w:pPr>
        <w:spacing w:after="0" w:line="240" w:lineRule="auto"/>
        <w:ind w:firstLine="360"/>
        <w:jc w:val="both"/>
        <w:rPr>
          <w:rFonts w:ascii="Cambria" w:hAnsi="Cambria" w:cs="Calibri"/>
          <w:sz w:val="20"/>
          <w:szCs w:val="20"/>
          <w:lang w:val="es-CO"/>
        </w:rPr>
      </w:pPr>
    </w:p>
    <w:p w14:paraId="4B0CD779" w14:textId="4624F87A" w:rsidR="00187D26" w:rsidRPr="00187D26" w:rsidRDefault="00187D26" w:rsidP="00187D26">
      <w:pPr>
        <w:tabs>
          <w:tab w:val="left" w:pos="3926"/>
        </w:tabs>
        <w:spacing w:after="0" w:line="240" w:lineRule="auto"/>
        <w:rPr>
          <w:rFonts w:ascii="Cambria" w:hAnsi="Cambria"/>
          <w:sz w:val="20"/>
          <w:szCs w:val="20"/>
          <w:lang w:val="es-US"/>
        </w:rPr>
      </w:pPr>
      <w:bookmarkStart w:id="0" w:name="ministro"/>
      <w:bookmarkStart w:id="1" w:name="_Hlk196724428"/>
      <w:bookmarkStart w:id="2" w:name="_Hlk194568905"/>
      <w:bookmarkStart w:id="3" w:name="_Hlk200102610"/>
      <w:bookmarkStart w:id="4" w:name="_Hlk199495494"/>
      <w:bookmarkStart w:id="5" w:name="_Hlk129896549"/>
      <w:bookmarkEnd w:id="0"/>
    </w:p>
    <w:bookmarkEnd w:id="1"/>
    <w:bookmarkEnd w:id="2"/>
    <w:bookmarkEnd w:id="3"/>
    <w:bookmarkEnd w:id="4"/>
    <w:bookmarkEnd w:id="5"/>
    <w:p w14:paraId="5C1856D6" w14:textId="77777777" w:rsidR="00772A69" w:rsidRPr="00187D26" w:rsidRDefault="00772A69" w:rsidP="00772A69">
      <w:pPr>
        <w:spacing w:after="0" w:line="240" w:lineRule="auto"/>
        <w:jc w:val="both"/>
        <w:rPr>
          <w:rFonts w:ascii="Cambria" w:hAnsi="Cambria"/>
          <w:sz w:val="20"/>
          <w:szCs w:val="20"/>
          <w:lang w:val="es-CO"/>
        </w:rPr>
      </w:pPr>
      <w:r w:rsidRPr="00187D26">
        <w:rPr>
          <w:rFonts w:ascii="Cambria" w:hAnsi="Cambria" w:cs="Calibri"/>
          <w:sz w:val="20"/>
          <w:szCs w:val="20"/>
          <w:lang w:val="es-CO"/>
        </w:rPr>
        <w:t>Anexo</w:t>
      </w:r>
    </w:p>
    <w:sectPr w:rsidR="00772A69" w:rsidRPr="00187D26" w:rsidSect="00772A69">
      <w:headerReference w:type="default" r:id="rId8"/>
      <w:footerReference w:type="default" r:id="rId9"/>
      <w:headerReference w:type="first" r:id="rId10"/>
      <w:footerReference w:type="first" r:id="rId11"/>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17C3" w14:textId="77777777" w:rsidR="00AA78E8" w:rsidRDefault="00AA78E8">
      <w:pPr>
        <w:spacing w:after="0" w:line="240" w:lineRule="auto"/>
      </w:pPr>
      <w:r>
        <w:separator/>
      </w:r>
    </w:p>
  </w:endnote>
  <w:endnote w:type="continuationSeparator" w:id="0">
    <w:p w14:paraId="2CFE9FF8" w14:textId="77777777" w:rsidR="00AA78E8" w:rsidRDefault="00AA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0CF2" w14:textId="77777777" w:rsidR="00417301" w:rsidRPr="00623374" w:rsidRDefault="00417301">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47B47662" w14:textId="77777777" w:rsidR="00417301" w:rsidRDefault="00417301" w:rsidP="002E628E">
    <w:pPr>
      <w:pStyle w:val="Footer"/>
      <w:spacing w:line="360" w:lineRule="auto"/>
    </w:pPr>
    <w:r>
      <w:t>_____________________________________________________________________________________</w:t>
    </w:r>
  </w:p>
  <w:p w14:paraId="712E589A" w14:textId="77777777" w:rsidR="00417301" w:rsidRDefault="00417301" w:rsidP="00F8734F">
    <w:pPr>
      <w:pStyle w:val="Footer"/>
      <w:jc w:val="center"/>
    </w:pPr>
    <w:r w:rsidRPr="008A5CB5">
      <w:rPr>
        <w:noProof/>
      </w:rPr>
      <w:drawing>
        <wp:inline distT="0" distB="0" distL="0" distR="0" wp14:anchorId="353D23F8" wp14:editId="0599B4F1">
          <wp:extent cx="5120640" cy="312420"/>
          <wp:effectExtent l="0" t="0" r="3810" b="0"/>
          <wp:docPr id="1821929116"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F525" w14:textId="77777777" w:rsidR="00417301" w:rsidRDefault="00417301" w:rsidP="00162CE1">
    <w:pPr>
      <w:pStyle w:val="Footer"/>
      <w:spacing w:line="360" w:lineRule="auto"/>
    </w:pPr>
    <w:r>
      <w:t>_____________________________________________________________________________________</w:t>
    </w:r>
  </w:p>
  <w:p w14:paraId="050F53B4" w14:textId="77777777" w:rsidR="00417301" w:rsidRDefault="00417301" w:rsidP="00162CE1">
    <w:pPr>
      <w:pStyle w:val="Footer"/>
      <w:jc w:val="center"/>
    </w:pPr>
    <w:r w:rsidRPr="008A5CB5">
      <w:rPr>
        <w:noProof/>
      </w:rPr>
      <w:drawing>
        <wp:inline distT="0" distB="0" distL="0" distR="0" wp14:anchorId="7DB909A3" wp14:editId="3EB3BD6F">
          <wp:extent cx="5120640" cy="312420"/>
          <wp:effectExtent l="0" t="0" r="3810" b="0"/>
          <wp:docPr id="1184467735"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4E7C" w14:textId="77777777" w:rsidR="00AA78E8" w:rsidRDefault="00AA78E8">
      <w:pPr>
        <w:spacing w:after="0" w:line="240" w:lineRule="auto"/>
      </w:pPr>
      <w:r>
        <w:separator/>
      </w:r>
    </w:p>
  </w:footnote>
  <w:footnote w:type="continuationSeparator" w:id="0">
    <w:p w14:paraId="74343FEF" w14:textId="77777777" w:rsidR="00AA78E8" w:rsidRDefault="00AA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61F0" w14:textId="77777777" w:rsidR="00417301" w:rsidRPr="0058688A" w:rsidRDefault="00417301" w:rsidP="00162CE1">
    <w:pPr>
      <w:pStyle w:val="Header"/>
      <w:jc w:val="center"/>
      <w:rPr>
        <w:lang w:val="es-ES_tradnl"/>
      </w:rPr>
    </w:pPr>
    <w:r>
      <w:rPr>
        <w:noProof/>
        <w:lang w:val="es-ES_tradnl"/>
      </w:rPr>
      <w:drawing>
        <wp:inline distT="0" distB="0" distL="0" distR="0" wp14:anchorId="10F06E86" wp14:editId="72CCC8B8">
          <wp:extent cx="2286000" cy="129540"/>
          <wp:effectExtent l="0" t="0" r="0" b="3810"/>
          <wp:docPr id="1271186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9540"/>
                  </a:xfrm>
                  <a:prstGeom prst="rect">
                    <a:avLst/>
                  </a:prstGeom>
                  <a:noFill/>
                  <a:ln>
                    <a:noFill/>
                  </a:ln>
                </pic:spPr>
              </pic:pic>
            </a:graphicData>
          </a:graphic>
        </wp:inline>
      </w:drawing>
    </w:r>
  </w:p>
  <w:p w14:paraId="53C5E950" w14:textId="77777777" w:rsidR="00417301" w:rsidRDefault="00417301">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4B40" w14:textId="77777777" w:rsidR="00417301" w:rsidRDefault="00417301" w:rsidP="00162CE1">
    <w:pPr>
      <w:pStyle w:val="Header"/>
    </w:pPr>
    <w:r w:rsidRPr="008A5CB5">
      <w:rPr>
        <w:noProof/>
      </w:rPr>
      <w:drawing>
        <wp:inline distT="0" distB="0" distL="0" distR="0" wp14:anchorId="74BF3ED7" wp14:editId="67DAAE45">
          <wp:extent cx="2362200" cy="441960"/>
          <wp:effectExtent l="0" t="0" r="0" b="0"/>
          <wp:docPr id="831587633" name="Picture 4"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41960"/>
                  </a:xfrm>
                  <a:prstGeom prst="rect">
                    <a:avLst/>
                  </a:prstGeom>
                  <a:noFill/>
                  <a:ln>
                    <a:noFill/>
                  </a:ln>
                </pic:spPr>
              </pic:pic>
            </a:graphicData>
          </a:graphic>
        </wp:inline>
      </w:drawing>
    </w:r>
    <w:r>
      <w:tab/>
    </w:r>
    <w:r>
      <w:tab/>
    </w:r>
    <w:r w:rsidRPr="008A5CB5">
      <w:rPr>
        <w:noProof/>
      </w:rPr>
      <w:drawing>
        <wp:inline distT="0" distB="0" distL="0" distR="0" wp14:anchorId="4B5C8A1F" wp14:editId="382BA72C">
          <wp:extent cx="1676400" cy="495300"/>
          <wp:effectExtent l="0" t="0" r="0" b="0"/>
          <wp:docPr id="983980497"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p>
  <w:p w14:paraId="4E0280A9" w14:textId="77777777" w:rsidR="00417301" w:rsidRDefault="00417301"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9F2"/>
    <w:multiLevelType w:val="hybridMultilevel"/>
    <w:tmpl w:val="25569D10"/>
    <w:lvl w:ilvl="0" w:tplc="08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35CA49C3"/>
    <w:multiLevelType w:val="hybridMultilevel"/>
    <w:tmpl w:val="A1BE6482"/>
    <w:lvl w:ilvl="0" w:tplc="845C53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5CEB79FB"/>
    <w:multiLevelType w:val="hybridMultilevel"/>
    <w:tmpl w:val="BEFC80C0"/>
    <w:lvl w:ilvl="0" w:tplc="DBD8AD5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446996359">
    <w:abstractNumId w:val="0"/>
  </w:num>
  <w:num w:numId="2" w16cid:durableId="1677729209">
    <w:abstractNumId w:val="2"/>
  </w:num>
  <w:num w:numId="3" w16cid:durableId="1442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69"/>
    <w:rsid w:val="000152C1"/>
    <w:rsid w:val="000314E6"/>
    <w:rsid w:val="0005042D"/>
    <w:rsid w:val="00065961"/>
    <w:rsid w:val="00066735"/>
    <w:rsid w:val="00077389"/>
    <w:rsid w:val="000957D0"/>
    <w:rsid w:val="000C39F4"/>
    <w:rsid w:val="000D0D43"/>
    <w:rsid w:val="000D1B60"/>
    <w:rsid w:val="000F7F14"/>
    <w:rsid w:val="00121C8D"/>
    <w:rsid w:val="00187D26"/>
    <w:rsid w:val="0019034E"/>
    <w:rsid w:val="001B0822"/>
    <w:rsid w:val="001B7206"/>
    <w:rsid w:val="001F4521"/>
    <w:rsid w:val="00212BFB"/>
    <w:rsid w:val="00236718"/>
    <w:rsid w:val="00247B6A"/>
    <w:rsid w:val="002847AD"/>
    <w:rsid w:val="002861C7"/>
    <w:rsid w:val="00287EAF"/>
    <w:rsid w:val="00295451"/>
    <w:rsid w:val="002A1071"/>
    <w:rsid w:val="002D7FA4"/>
    <w:rsid w:val="00327FAC"/>
    <w:rsid w:val="00341B36"/>
    <w:rsid w:val="00344108"/>
    <w:rsid w:val="003965D2"/>
    <w:rsid w:val="003C5B9A"/>
    <w:rsid w:val="003E7E40"/>
    <w:rsid w:val="003F1316"/>
    <w:rsid w:val="00417301"/>
    <w:rsid w:val="00440C81"/>
    <w:rsid w:val="00441C5C"/>
    <w:rsid w:val="00476093"/>
    <w:rsid w:val="004917C5"/>
    <w:rsid w:val="004A0EEE"/>
    <w:rsid w:val="004C2CA3"/>
    <w:rsid w:val="00514E46"/>
    <w:rsid w:val="00523CB2"/>
    <w:rsid w:val="00532F7D"/>
    <w:rsid w:val="0054794A"/>
    <w:rsid w:val="00547D11"/>
    <w:rsid w:val="00550696"/>
    <w:rsid w:val="00564FD2"/>
    <w:rsid w:val="00593350"/>
    <w:rsid w:val="005D2009"/>
    <w:rsid w:val="005E76A8"/>
    <w:rsid w:val="005F064E"/>
    <w:rsid w:val="0060365B"/>
    <w:rsid w:val="00646034"/>
    <w:rsid w:val="00655B08"/>
    <w:rsid w:val="00667B9D"/>
    <w:rsid w:val="00673688"/>
    <w:rsid w:val="0067733C"/>
    <w:rsid w:val="006D00DC"/>
    <w:rsid w:val="006E638B"/>
    <w:rsid w:val="00705C36"/>
    <w:rsid w:val="0070732A"/>
    <w:rsid w:val="00747107"/>
    <w:rsid w:val="00772A69"/>
    <w:rsid w:val="0079516B"/>
    <w:rsid w:val="007B2A57"/>
    <w:rsid w:val="007C5634"/>
    <w:rsid w:val="007E7905"/>
    <w:rsid w:val="00811A66"/>
    <w:rsid w:val="0082677F"/>
    <w:rsid w:val="00831D42"/>
    <w:rsid w:val="00841DF3"/>
    <w:rsid w:val="00860790"/>
    <w:rsid w:val="00886B09"/>
    <w:rsid w:val="00893B41"/>
    <w:rsid w:val="008B50EF"/>
    <w:rsid w:val="008E6254"/>
    <w:rsid w:val="008F00B9"/>
    <w:rsid w:val="009003DE"/>
    <w:rsid w:val="00922477"/>
    <w:rsid w:val="00946618"/>
    <w:rsid w:val="0097080B"/>
    <w:rsid w:val="009B5DFC"/>
    <w:rsid w:val="009B7763"/>
    <w:rsid w:val="009C1F2B"/>
    <w:rsid w:val="009D068C"/>
    <w:rsid w:val="00A369E8"/>
    <w:rsid w:val="00A51634"/>
    <w:rsid w:val="00A6461C"/>
    <w:rsid w:val="00A868BC"/>
    <w:rsid w:val="00A91BCF"/>
    <w:rsid w:val="00AA78E8"/>
    <w:rsid w:val="00AD70D4"/>
    <w:rsid w:val="00AE4091"/>
    <w:rsid w:val="00B02268"/>
    <w:rsid w:val="00B11F9C"/>
    <w:rsid w:val="00B45555"/>
    <w:rsid w:val="00B5785D"/>
    <w:rsid w:val="00B616EC"/>
    <w:rsid w:val="00B8546F"/>
    <w:rsid w:val="00B91491"/>
    <w:rsid w:val="00BA32A3"/>
    <w:rsid w:val="00BE08A3"/>
    <w:rsid w:val="00BE69D6"/>
    <w:rsid w:val="00BF7395"/>
    <w:rsid w:val="00C36CD5"/>
    <w:rsid w:val="00C61051"/>
    <w:rsid w:val="00C627C9"/>
    <w:rsid w:val="00C811B4"/>
    <w:rsid w:val="00C94142"/>
    <w:rsid w:val="00CA4282"/>
    <w:rsid w:val="00D07A0F"/>
    <w:rsid w:val="00D205A0"/>
    <w:rsid w:val="00D44D3D"/>
    <w:rsid w:val="00D82F2B"/>
    <w:rsid w:val="00DC7C12"/>
    <w:rsid w:val="00DD0067"/>
    <w:rsid w:val="00DD1D69"/>
    <w:rsid w:val="00DE0517"/>
    <w:rsid w:val="00DE4770"/>
    <w:rsid w:val="00DE49FB"/>
    <w:rsid w:val="00DE6AAD"/>
    <w:rsid w:val="00E0361C"/>
    <w:rsid w:val="00E146DF"/>
    <w:rsid w:val="00E15989"/>
    <w:rsid w:val="00E177C4"/>
    <w:rsid w:val="00E23970"/>
    <w:rsid w:val="00E37C84"/>
    <w:rsid w:val="00E53DEA"/>
    <w:rsid w:val="00E818FB"/>
    <w:rsid w:val="00E91AEE"/>
    <w:rsid w:val="00EB5746"/>
    <w:rsid w:val="00F13BFE"/>
    <w:rsid w:val="00F26232"/>
    <w:rsid w:val="00F30800"/>
    <w:rsid w:val="00F546D8"/>
    <w:rsid w:val="00FA0AAE"/>
    <w:rsid w:val="00FA6A4C"/>
    <w:rsid w:val="00FB2783"/>
    <w:rsid w:val="00FB29B4"/>
    <w:rsid w:val="00FB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7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6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72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A69"/>
    <w:rPr>
      <w:rFonts w:eastAsiaTheme="majorEastAsia" w:cstheme="majorBidi"/>
      <w:color w:val="272727" w:themeColor="text1" w:themeTint="D8"/>
    </w:rPr>
  </w:style>
  <w:style w:type="paragraph" w:styleId="Title">
    <w:name w:val="Title"/>
    <w:basedOn w:val="Normal"/>
    <w:next w:val="Normal"/>
    <w:link w:val="TitleChar"/>
    <w:uiPriority w:val="10"/>
    <w:qFormat/>
    <w:rsid w:val="00772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A69"/>
    <w:pPr>
      <w:spacing w:before="160"/>
      <w:jc w:val="center"/>
    </w:pPr>
    <w:rPr>
      <w:i/>
      <w:iCs/>
      <w:color w:val="404040" w:themeColor="text1" w:themeTint="BF"/>
    </w:rPr>
  </w:style>
  <w:style w:type="character" w:customStyle="1" w:styleId="QuoteChar">
    <w:name w:val="Quote Char"/>
    <w:basedOn w:val="DefaultParagraphFont"/>
    <w:link w:val="Quote"/>
    <w:uiPriority w:val="29"/>
    <w:rsid w:val="00772A69"/>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basedOn w:val="Normal"/>
    <w:link w:val="ListParagraphChar"/>
    <w:uiPriority w:val="72"/>
    <w:qFormat/>
    <w:rsid w:val="00772A69"/>
    <w:pPr>
      <w:ind w:left="720"/>
      <w:contextualSpacing/>
    </w:pPr>
  </w:style>
  <w:style w:type="character" w:styleId="IntenseEmphasis">
    <w:name w:val="Intense Emphasis"/>
    <w:basedOn w:val="DefaultParagraphFont"/>
    <w:uiPriority w:val="21"/>
    <w:qFormat/>
    <w:rsid w:val="00772A69"/>
    <w:rPr>
      <w:i/>
      <w:iCs/>
      <w:color w:val="0F4761" w:themeColor="accent1" w:themeShade="BF"/>
    </w:rPr>
  </w:style>
  <w:style w:type="paragraph" w:styleId="IntenseQuote">
    <w:name w:val="Intense Quote"/>
    <w:basedOn w:val="Normal"/>
    <w:next w:val="Normal"/>
    <w:link w:val="IntenseQuoteChar"/>
    <w:uiPriority w:val="30"/>
    <w:qFormat/>
    <w:rsid w:val="00772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A69"/>
    <w:rPr>
      <w:i/>
      <w:iCs/>
      <w:color w:val="0F4761" w:themeColor="accent1" w:themeShade="BF"/>
    </w:rPr>
  </w:style>
  <w:style w:type="character" w:styleId="IntenseReference">
    <w:name w:val="Intense Reference"/>
    <w:basedOn w:val="DefaultParagraphFont"/>
    <w:uiPriority w:val="32"/>
    <w:qFormat/>
    <w:rsid w:val="00772A69"/>
    <w:rPr>
      <w:b/>
      <w:bCs/>
      <w:smallCaps/>
      <w:color w:val="0F4761" w:themeColor="accent1" w:themeShade="BF"/>
      <w:spacing w:val="5"/>
    </w:rPr>
  </w:style>
  <w:style w:type="paragraph" w:styleId="Header">
    <w:name w:val="header"/>
    <w:aliases w:val="encabezado"/>
    <w:basedOn w:val="Normal"/>
    <w:link w:val="HeaderChar"/>
    <w:unhideWhenUsed/>
    <w:rsid w:val="00772A69"/>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772A69"/>
    <w:rPr>
      <w:rFonts w:ascii="Calibri" w:eastAsia="Calibri" w:hAnsi="Calibri" w:cs="Times New Roman"/>
      <w:kern w:val="0"/>
      <w14:ligatures w14:val="none"/>
    </w:rPr>
  </w:style>
  <w:style w:type="paragraph" w:styleId="Footer">
    <w:name w:val="footer"/>
    <w:basedOn w:val="Normal"/>
    <w:link w:val="FooterChar"/>
    <w:unhideWhenUsed/>
    <w:rsid w:val="00772A69"/>
    <w:pPr>
      <w:tabs>
        <w:tab w:val="center" w:pos="4680"/>
        <w:tab w:val="right" w:pos="9360"/>
      </w:tabs>
      <w:spacing w:after="0" w:line="240" w:lineRule="auto"/>
    </w:pPr>
  </w:style>
  <w:style w:type="character" w:customStyle="1" w:styleId="FooterChar">
    <w:name w:val="Footer Char"/>
    <w:basedOn w:val="DefaultParagraphFont"/>
    <w:link w:val="Footer"/>
    <w:rsid w:val="00772A69"/>
    <w:rPr>
      <w:rFonts w:ascii="Calibri" w:eastAsia="Calibri" w:hAnsi="Calibri" w:cs="Times New Roman"/>
      <w:kern w:val="0"/>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72"/>
    <w:qFormat/>
    <w:locked/>
    <w:rsid w:val="00772A69"/>
  </w:style>
  <w:style w:type="paragraph" w:styleId="HTMLPreformatted">
    <w:name w:val="HTML Preformatted"/>
    <w:basedOn w:val="Normal"/>
    <w:link w:val="HTMLPreformattedChar"/>
    <w:uiPriority w:val="99"/>
    <w:unhideWhenUsed/>
    <w:rsid w:val="0077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2A69"/>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187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EBA0-0D51-4354-8596-DDEB47F2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2285</Words>
  <Characters>13026</Characters>
  <Application>Microsoft Office Word</Application>
  <DocSecurity>0</DocSecurity>
  <Lines>108</Lines>
  <Paragraphs>30</Paragraphs>
  <ScaleCrop>false</ScaleCrop>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2025-06-10T16:47:00Z</dcterms:created>
  <dcterms:modified xsi:type="dcterms:W3CDTF">2025-06-10T16:47:00Z</dcterms:modified>
</cp:coreProperties>
</file>